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hd w:val="clear" w:color="auto" w:fill="FFFFFF"/>
        <w:spacing w:beforeAutospacing="0" w:after="84" w:afterAutospacing="0" w:line="312" w:lineRule="atLeast"/>
        <w:rPr>
          <w:b/>
          <w:bCs/>
        </w:rPr>
      </w:pPr>
      <w:bookmarkStart w:id="1" w:name="_GoBack"/>
      <w:bookmarkEnd w:id="1"/>
      <w:bookmarkStart w:id="0" w:name="_Hlk69465279"/>
      <w:r>
        <w:rPr>
          <w:rFonts w:hint="eastAsia"/>
          <w:b/>
          <w:bCs/>
        </w:rPr>
        <w:t>附件</w:t>
      </w:r>
      <w:r>
        <w:rPr>
          <w:b/>
          <w:bCs/>
        </w:rPr>
        <w:t>1:</w:t>
      </w:r>
      <w:r>
        <w:rPr>
          <w:rFonts w:hint="eastAsia"/>
          <w:b/>
          <w:bCs/>
        </w:rPr>
        <w:t>需求信息</w:t>
      </w:r>
    </w:p>
    <w:bookmarkEnd w:id="0"/>
    <w:p>
      <w:pPr>
        <w:pStyle w:val="2"/>
      </w:pPr>
      <w:r>
        <w:rPr>
          <w:rFonts w:hint="eastAsia"/>
        </w:rPr>
        <w:t>医院精细化管理成本核算绩效分配</w:t>
      </w:r>
    </w:p>
    <w:p>
      <w:pPr>
        <w:rPr>
          <w:lang w:val="zh-CN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能够帮助我院控制降低成本提供支持，对病种成本结构分析与区域内病种成本比较，为医院提供降低成本的参考，哪些成本是可以压缩的，哪些成本是可以降低的；为医院绩效激励提供导向，调整绩效考核方案。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成本核算模块可从不同维度计算全院的成本项目。成本计算完成后，系统可以自动对计算分摊的成本数据进行合理性，正确性做检查，并反馈检查结果。</w:t>
      </w:r>
    </w:p>
    <w:p>
      <w:pPr>
        <w:spacing w:line="360" w:lineRule="auto"/>
        <w:ind w:firstLine="420"/>
        <w:rPr>
          <w:rFonts w:ascii="宋体" w:hAnsi="宋体" w:eastAsia="宋体"/>
          <w:sz w:val="24"/>
          <w:lang w:val="zh-CN"/>
        </w:rPr>
      </w:pPr>
      <w:r>
        <w:rPr>
          <w:rFonts w:hint="eastAsia" w:ascii="宋体" w:hAnsi="宋体" w:eastAsia="宋体"/>
          <w:sz w:val="24"/>
        </w:rPr>
        <w:t>按着院科组及疾病分组、病例、床日维度，进行成本的分析。为医院运营管精细化管理、与医保谈判、绩效激励以及预算提供科学的数据依据。</w:t>
      </w:r>
    </w:p>
    <w:p>
      <w:pPr>
        <w:pStyle w:val="2"/>
      </w:pPr>
      <w:r>
        <w:rPr>
          <w:rFonts w:hint="eastAsia"/>
        </w:rPr>
        <w:t>医保审核及申诉</w:t>
      </w: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Hans"/>
        </w:rPr>
        <w:t>协助医生在医生工作站进行病历操作时</w:t>
      </w:r>
      <w:r>
        <w:rPr>
          <w:rFonts w:ascii="宋体" w:hAnsi="宋体" w:eastAsia="宋体"/>
          <w:sz w:val="24"/>
          <w:lang w:eastAsia="zh-Hans"/>
        </w:rPr>
        <w:t>，</w:t>
      </w:r>
      <w:r>
        <w:rPr>
          <w:rFonts w:hint="eastAsia" w:ascii="宋体" w:hAnsi="宋体" w:eastAsia="宋体"/>
          <w:sz w:val="24"/>
          <w:lang w:eastAsia="zh-Hans"/>
        </w:rPr>
        <w:t>可进行疾病分组的入组实时推荐和预测</w:t>
      </w:r>
      <w:r>
        <w:rPr>
          <w:rFonts w:ascii="宋体" w:hAnsi="宋体" w:eastAsia="宋体"/>
          <w:sz w:val="24"/>
          <w:lang w:eastAsia="zh-Hans"/>
        </w:rPr>
        <w:t>、</w:t>
      </w:r>
      <w:r>
        <w:rPr>
          <w:rFonts w:hint="eastAsia" w:ascii="宋体" w:hAnsi="宋体" w:eastAsia="宋体"/>
          <w:sz w:val="24"/>
          <w:lang w:eastAsia="zh-Hans"/>
        </w:rPr>
        <w:t>同时能够进行医保支付相关的的医保结算清单质控。可以基于编码本身的规则</w:t>
      </w:r>
      <w:r>
        <w:rPr>
          <w:rFonts w:ascii="宋体" w:hAnsi="宋体" w:eastAsia="宋体"/>
          <w:sz w:val="24"/>
          <w:lang w:eastAsia="zh-Hans"/>
        </w:rPr>
        <w:t>、首页字段间的相互校验</w:t>
      </w:r>
      <w:r>
        <w:rPr>
          <w:rFonts w:hint="eastAsia" w:ascii="宋体" w:hAnsi="宋体" w:eastAsia="宋体"/>
          <w:sz w:val="24"/>
          <w:lang w:eastAsia="zh-Hans"/>
        </w:rPr>
        <w:t>进行排查。</w:t>
      </w:r>
    </w:p>
    <w:p>
      <w:pPr>
        <w:pStyle w:val="32"/>
        <w:rPr>
          <w:rFonts w:ascii="宋体" w:hAnsi="宋体" w:cs="宋体"/>
          <w:szCs w:val="24"/>
          <w:lang w:val="en-US" w:eastAsia="zh-Hans"/>
        </w:rPr>
      </w:pPr>
      <w:r>
        <w:rPr>
          <w:rFonts w:hint="eastAsia" w:ascii="宋体" w:hAnsi="宋体" w:cs="宋体"/>
          <w:szCs w:val="24"/>
          <w:lang w:val="en-US" w:eastAsia="zh-Hans"/>
        </w:rPr>
        <w:t>可以让本院管理者整体把握数据质量情况</w:t>
      </w:r>
      <w:r>
        <w:rPr>
          <w:rFonts w:ascii="宋体" w:hAnsi="宋体" w:cs="宋体"/>
          <w:szCs w:val="24"/>
          <w:lang w:val="en-US" w:eastAsia="zh-Hans"/>
        </w:rPr>
        <w:t>，</w:t>
      </w:r>
      <w:r>
        <w:rPr>
          <w:rFonts w:hint="eastAsia" w:ascii="宋体" w:hAnsi="宋体" w:cs="宋体"/>
          <w:szCs w:val="24"/>
          <w:lang w:val="en-US" w:eastAsia="zh-Hans"/>
        </w:rPr>
        <w:t>通过病案监管功能可一目了然知道在院病案风险情况</w:t>
      </w:r>
      <w:r>
        <w:rPr>
          <w:rFonts w:ascii="宋体" w:hAnsi="宋体" w:cs="宋体"/>
          <w:szCs w:val="24"/>
          <w:lang w:val="en-US" w:eastAsia="zh-Hans"/>
        </w:rPr>
        <w:t>，</w:t>
      </w:r>
      <w:r>
        <w:rPr>
          <w:rFonts w:hint="eastAsia" w:ascii="宋体" w:hAnsi="宋体" w:cs="宋体"/>
          <w:szCs w:val="24"/>
          <w:lang w:val="en-US" w:eastAsia="zh-Hans"/>
        </w:rPr>
        <w:t>对重点风险科室</w:t>
      </w:r>
      <w:r>
        <w:rPr>
          <w:rFonts w:ascii="宋体" w:hAnsi="宋体" w:cs="宋体"/>
          <w:szCs w:val="24"/>
          <w:lang w:val="en-US" w:eastAsia="zh-Hans"/>
        </w:rPr>
        <w:t>/</w:t>
      </w:r>
      <w:r>
        <w:rPr>
          <w:rFonts w:hint="eastAsia" w:ascii="宋体" w:hAnsi="宋体" w:cs="宋体"/>
          <w:szCs w:val="24"/>
          <w:lang w:val="en-US" w:eastAsia="zh-Hans"/>
        </w:rPr>
        <w:t>医生</w:t>
      </w:r>
      <w:r>
        <w:rPr>
          <w:rFonts w:ascii="宋体" w:hAnsi="宋体" w:cs="宋体"/>
          <w:szCs w:val="24"/>
          <w:lang w:val="en-US" w:eastAsia="zh-Hans"/>
        </w:rPr>
        <w:t>/</w:t>
      </w:r>
      <w:r>
        <w:rPr>
          <w:rFonts w:hint="eastAsia" w:ascii="宋体" w:hAnsi="宋体" w:cs="宋体"/>
          <w:szCs w:val="24"/>
          <w:lang w:val="en-US" w:eastAsia="zh-Hans"/>
        </w:rPr>
        <w:t>病组进行纠正</w:t>
      </w:r>
      <w:r>
        <w:rPr>
          <w:rFonts w:ascii="宋体" w:hAnsi="宋体" w:cs="宋体"/>
          <w:szCs w:val="24"/>
          <w:lang w:val="en-US" w:eastAsia="zh-Hans"/>
        </w:rPr>
        <w:t>。</w:t>
      </w:r>
      <w:r>
        <w:rPr>
          <w:rFonts w:hint="eastAsia" w:ascii="宋体" w:hAnsi="宋体" w:cs="宋体"/>
          <w:szCs w:val="24"/>
          <w:lang w:val="en-US" w:eastAsia="zh-Hans"/>
        </w:rPr>
        <w:t>病案数据填写完成后针对入组情况</w:t>
      </w:r>
      <w:r>
        <w:rPr>
          <w:rFonts w:ascii="宋体" w:hAnsi="宋体" w:cs="宋体"/>
          <w:szCs w:val="24"/>
          <w:lang w:val="en-US" w:eastAsia="zh-Hans"/>
        </w:rPr>
        <w:t>、</w:t>
      </w:r>
      <w:r>
        <w:rPr>
          <w:rFonts w:hint="eastAsia" w:ascii="宋体" w:hAnsi="宋体" w:cs="宋体"/>
          <w:szCs w:val="24"/>
          <w:lang w:val="en-US" w:eastAsia="zh-Hans"/>
        </w:rPr>
        <w:t>核心指标质量</w:t>
      </w:r>
      <w:r>
        <w:rPr>
          <w:rFonts w:ascii="宋体" w:hAnsi="宋体" w:cs="宋体"/>
          <w:szCs w:val="24"/>
          <w:lang w:val="en-US" w:eastAsia="zh-Hans"/>
        </w:rPr>
        <w:t>，</w:t>
      </w:r>
      <w:r>
        <w:rPr>
          <w:rFonts w:hint="eastAsia" w:ascii="宋体" w:hAnsi="宋体" w:cs="宋体"/>
          <w:szCs w:val="24"/>
          <w:lang w:val="en-US" w:eastAsia="zh-Hans"/>
        </w:rPr>
        <w:t>通过监测做到对漏编</w:t>
      </w:r>
      <w:r>
        <w:rPr>
          <w:rFonts w:ascii="宋体" w:hAnsi="宋体" w:cs="宋体"/>
          <w:szCs w:val="24"/>
          <w:lang w:val="en-US" w:eastAsia="zh-Hans"/>
        </w:rPr>
        <w:t>、</w:t>
      </w:r>
      <w:r>
        <w:rPr>
          <w:rFonts w:hint="eastAsia" w:ascii="宋体" w:hAnsi="宋体" w:cs="宋体"/>
          <w:szCs w:val="24"/>
          <w:lang w:val="en-US" w:eastAsia="zh-Hans"/>
        </w:rPr>
        <w:t>高编</w:t>
      </w:r>
      <w:r>
        <w:rPr>
          <w:rFonts w:ascii="宋体" w:hAnsi="宋体" w:cs="宋体"/>
          <w:szCs w:val="24"/>
          <w:lang w:val="en-US" w:eastAsia="zh-Hans"/>
        </w:rPr>
        <w:t>、</w:t>
      </w:r>
      <w:r>
        <w:rPr>
          <w:rFonts w:hint="eastAsia" w:ascii="宋体" w:hAnsi="宋体" w:cs="宋体"/>
          <w:szCs w:val="24"/>
          <w:lang w:val="en-US" w:eastAsia="zh-Hans"/>
        </w:rPr>
        <w:t>违规进行及时干预</w:t>
      </w:r>
      <w:r>
        <w:rPr>
          <w:rFonts w:ascii="宋体" w:hAnsi="宋体" w:cs="宋体"/>
          <w:szCs w:val="24"/>
          <w:lang w:val="en-US" w:eastAsia="zh-Hans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  <w:lang w:eastAsia="zh-Hans"/>
        </w:rPr>
        <w:t>综合分析各项指标的完成情况</w:t>
      </w:r>
      <w:r>
        <w:rPr>
          <w:rFonts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eastAsia="zh-Hans"/>
        </w:rPr>
        <w:t>通过趋势分析</w:t>
      </w:r>
      <w:r>
        <w:rPr>
          <w:rFonts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lang w:eastAsia="zh-Hans"/>
        </w:rPr>
        <w:t>标杆</w:t>
      </w:r>
      <w:r>
        <w:rPr>
          <w:rFonts w:ascii="宋体" w:hAnsi="宋体" w:eastAsia="宋体" w:cs="宋体"/>
          <w:sz w:val="24"/>
          <w:lang w:eastAsia="zh-Hans"/>
        </w:rPr>
        <w:t>/</w:t>
      </w:r>
      <w:r>
        <w:rPr>
          <w:rFonts w:hint="eastAsia" w:ascii="宋体" w:hAnsi="宋体" w:eastAsia="宋体" w:cs="宋体"/>
          <w:sz w:val="24"/>
          <w:lang w:eastAsia="zh-Hans"/>
        </w:rPr>
        <w:t>目标对比</w:t>
      </w:r>
      <w:r>
        <w:rPr>
          <w:rFonts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lang w:eastAsia="zh-Hans"/>
        </w:rPr>
        <w:t>分布结构等方式找出问题</w:t>
      </w:r>
      <w:r>
        <w:rPr>
          <w:rFonts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lang w:eastAsia="zh-Hans"/>
        </w:rPr>
        <w:t>说明原因</w:t>
      </w:r>
      <w:r>
        <w:rPr>
          <w:rFonts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lang w:eastAsia="zh-Hans"/>
        </w:rPr>
        <w:t>定位位置并给出优化方向</w:t>
      </w:r>
      <w:r>
        <w:rPr>
          <w:rFonts w:ascii="宋体" w:hAnsi="宋体" w:eastAsia="宋体" w:cs="宋体"/>
          <w:sz w:val="24"/>
          <w:lang w:eastAsia="zh-Hans"/>
        </w:rPr>
        <w:t>。</w:t>
      </w:r>
    </w:p>
    <w:p>
      <w:pPr>
        <w:pStyle w:val="2"/>
      </w:pPr>
      <w:r>
        <w:rPr>
          <w:rFonts w:hint="eastAsia"/>
        </w:rPr>
        <w:t>多维度绩效指标评测</w:t>
      </w:r>
    </w:p>
    <w:p>
      <w:pPr>
        <w:spacing w:line="360" w:lineRule="auto"/>
        <w:ind w:firstLine="539"/>
        <w:rPr>
          <w:rFonts w:ascii="宋体" w:hAnsi="宋体" w:eastAsia="宋体" w:cs="Helvetica Neue"/>
          <w:color w:val="000000"/>
          <w:sz w:val="24"/>
        </w:rPr>
      </w:pPr>
      <w:r>
        <w:rPr>
          <w:rFonts w:hint="eastAsia" w:ascii="宋体" w:hAnsi="宋体" w:eastAsia="宋体"/>
          <w:sz w:val="24"/>
        </w:rPr>
        <w:t>帮助我院建立</w:t>
      </w:r>
      <w:r>
        <w:rPr>
          <w:rFonts w:ascii="宋体" w:hAnsi="宋体" w:eastAsia="宋体" w:cs="Helvetica Neue"/>
          <w:color w:val="000000"/>
          <w:sz w:val="24"/>
        </w:rPr>
        <w:t>以</w:t>
      </w:r>
      <w:r>
        <w:rPr>
          <w:rFonts w:hint="eastAsia" w:ascii="宋体" w:hAnsi="宋体" w:eastAsia="宋体" w:cs="Helvetica Neue"/>
          <w:color w:val="000000"/>
          <w:sz w:val="24"/>
        </w:rPr>
        <w:t>疾病相关分组</w:t>
      </w:r>
      <w:r>
        <w:rPr>
          <w:rFonts w:ascii="宋体" w:hAnsi="宋体" w:eastAsia="宋体" w:cs="Helvetica Neue"/>
          <w:color w:val="000000"/>
          <w:sz w:val="24"/>
        </w:rPr>
        <w:t>为</w:t>
      </w:r>
      <w:r>
        <w:rPr>
          <w:rFonts w:hint="eastAsia" w:ascii="宋体" w:hAnsi="宋体" w:eastAsia="宋体" w:cs="Helvetica Neue"/>
          <w:color w:val="000000"/>
          <w:sz w:val="24"/>
        </w:rPr>
        <w:t>管理</w:t>
      </w:r>
      <w:r>
        <w:rPr>
          <w:rFonts w:ascii="宋体" w:hAnsi="宋体" w:eastAsia="宋体" w:cs="Helvetica Neue"/>
          <w:color w:val="000000"/>
          <w:sz w:val="24"/>
        </w:rPr>
        <w:t>抓手的医院内部综合管理</w:t>
      </w:r>
      <w:r>
        <w:rPr>
          <w:rFonts w:hint="eastAsia" w:ascii="宋体" w:hAnsi="宋体" w:eastAsia="宋体" w:cs="Helvetica Neue"/>
          <w:color w:val="000000"/>
          <w:sz w:val="24"/>
        </w:rPr>
        <w:t>体系</w:t>
      </w:r>
      <w:r>
        <w:rPr>
          <w:rFonts w:ascii="宋体" w:hAnsi="宋体" w:eastAsia="宋体" w:cs="Helvetica Neue"/>
          <w:color w:val="000000"/>
          <w:sz w:val="24"/>
        </w:rPr>
        <w:t>。面向不同管理层，提供针对性的管理应用</w:t>
      </w:r>
      <w:r>
        <w:rPr>
          <w:rFonts w:hint="eastAsia" w:ascii="宋体" w:hAnsi="宋体" w:eastAsia="宋体" w:cs="Helvetica Neue"/>
          <w:color w:val="000000"/>
          <w:sz w:val="24"/>
        </w:rPr>
        <w:t>服务</w:t>
      </w:r>
      <w:r>
        <w:rPr>
          <w:rFonts w:ascii="宋体" w:hAnsi="宋体" w:eastAsia="宋体" w:cs="Helvetica Neue"/>
          <w:color w:val="000000"/>
          <w:sz w:val="24"/>
        </w:rPr>
        <w:t>，</w:t>
      </w:r>
      <w:r>
        <w:rPr>
          <w:rFonts w:hint="eastAsia" w:ascii="宋体" w:hAnsi="宋体" w:eastAsia="宋体" w:cs="Helvetica Neue"/>
          <w:color w:val="000000"/>
          <w:sz w:val="24"/>
        </w:rPr>
        <w:t>促进医院各相关科室有效开展协同合作，从而</w:t>
      </w:r>
      <w:r>
        <w:rPr>
          <w:rFonts w:ascii="宋体" w:hAnsi="宋体" w:eastAsia="宋体" w:cs="Helvetica Neue"/>
          <w:color w:val="000000"/>
          <w:sz w:val="24"/>
        </w:rPr>
        <w:t>提高医院</w:t>
      </w:r>
      <w:r>
        <w:rPr>
          <w:rFonts w:hint="eastAsia" w:ascii="宋体" w:hAnsi="宋体" w:eastAsia="宋体" w:cs="Helvetica Neue"/>
          <w:color w:val="000000"/>
          <w:sz w:val="24"/>
        </w:rPr>
        <w:t>整体</w:t>
      </w:r>
      <w:r>
        <w:rPr>
          <w:rFonts w:ascii="宋体" w:hAnsi="宋体" w:eastAsia="宋体" w:cs="Helvetica Neue"/>
          <w:color w:val="000000"/>
          <w:sz w:val="24"/>
        </w:rPr>
        <w:t>管理效率。</w:t>
      </w:r>
      <w:r>
        <w:rPr>
          <w:rFonts w:hint="eastAsia" w:ascii="宋体" w:hAnsi="宋体" w:eastAsia="宋体" w:cs="Helvetica Neue"/>
          <w:color w:val="000000"/>
          <w:sz w:val="24"/>
        </w:rPr>
        <w:t>建立</w:t>
      </w:r>
      <w:r>
        <w:rPr>
          <w:rFonts w:ascii="宋体" w:hAnsi="宋体" w:eastAsia="宋体" w:cs="Helvetica Neue"/>
          <w:color w:val="000000"/>
          <w:sz w:val="24"/>
        </w:rPr>
        <w:t>医院</w:t>
      </w:r>
      <w:r>
        <w:rPr>
          <w:rFonts w:hint="eastAsia" w:ascii="宋体" w:hAnsi="宋体" w:eastAsia="宋体" w:cs="Helvetica Neue"/>
          <w:color w:val="000000"/>
          <w:sz w:val="24"/>
        </w:rPr>
        <w:t>内部</w:t>
      </w:r>
      <w:r>
        <w:rPr>
          <w:rFonts w:ascii="宋体" w:hAnsi="宋体" w:eastAsia="宋体" w:cs="Helvetica Neue"/>
          <w:color w:val="000000"/>
          <w:sz w:val="24"/>
        </w:rPr>
        <w:t>管理模型，为医院提供科学、客观、有效的管理方法，</w:t>
      </w:r>
      <w:r>
        <w:rPr>
          <w:rFonts w:hint="eastAsia" w:ascii="宋体" w:hAnsi="宋体" w:eastAsia="宋体" w:cs="Helvetica Neue"/>
          <w:color w:val="000000"/>
          <w:sz w:val="24"/>
        </w:rPr>
        <w:t>进而</w:t>
      </w:r>
      <w:r>
        <w:rPr>
          <w:rFonts w:ascii="宋体" w:hAnsi="宋体" w:eastAsia="宋体" w:cs="Helvetica Neue"/>
          <w:color w:val="000000"/>
          <w:sz w:val="24"/>
        </w:rPr>
        <w:t>助力医院实现精益管理。</w:t>
      </w:r>
    </w:p>
    <w:p>
      <w:pPr>
        <w:spacing w:line="360" w:lineRule="auto"/>
        <w:ind w:firstLine="539"/>
        <w:rPr>
          <w:rFonts w:ascii="宋体" w:hAnsi="宋体" w:eastAsia="宋体" w:cs="Helvetica Neue"/>
          <w:color w:val="000000"/>
          <w:sz w:val="24"/>
        </w:rPr>
      </w:pPr>
      <w:r>
        <w:rPr>
          <w:rFonts w:hint="eastAsia" w:ascii="宋体" w:hAnsi="宋体" w:eastAsia="宋体" w:cs="Helvetica Neue"/>
          <w:color w:val="000000"/>
          <w:sz w:val="24"/>
        </w:rPr>
        <w:t>从</w:t>
      </w:r>
      <w:r>
        <w:rPr>
          <w:rFonts w:ascii="宋体" w:hAnsi="宋体" w:eastAsia="宋体" w:cs="Helvetica Neue"/>
          <w:color w:val="000000"/>
          <w:sz w:val="24"/>
        </w:rPr>
        <w:t>服务能力、服务效率、</w:t>
      </w:r>
      <w:r>
        <w:rPr>
          <w:rFonts w:hint="eastAsia" w:ascii="宋体" w:hAnsi="宋体" w:eastAsia="宋体" w:cs="Helvetica Neue"/>
          <w:color w:val="000000"/>
          <w:sz w:val="24"/>
        </w:rPr>
        <w:t>质量安全等方面提供相关指标的展示与分析</w:t>
      </w:r>
    </w:p>
    <w:p>
      <w:pPr>
        <w:pStyle w:val="2"/>
      </w:pPr>
      <w:r>
        <w:rPr>
          <w:rFonts w:hint="eastAsia"/>
          <w:lang w:eastAsia="zh-CN"/>
        </w:rPr>
        <w:t>基于病组管理的</w:t>
      </w:r>
      <w:r>
        <w:rPr>
          <w:rFonts w:hint="eastAsia"/>
        </w:rPr>
        <w:t>病案首页全流程质控管理</w:t>
      </w:r>
    </w:p>
    <w:p>
      <w:pPr>
        <w:pStyle w:val="32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该平台需协助我院完成病案首页疾病诊断相关分组全流程质控，确保所有参与测算的数据都能通过质控普查，并对病案存在的问题进行快速定位溯源，提升病案数据质量，进而提高病案疾病相关分组的入组率。同时提供入组结果分析，并对所有对支付有风险，对绩效评价有风险的病案，引导优先查因分析。</w:t>
      </w:r>
    </w:p>
    <w:p>
      <w:pPr>
        <w:pStyle w:val="32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该平台必须执行《国家卫生计生委办公厅关于印发住院病案首页数据填写质量规范（暂行）》和《住院病案首页数据质量管理与控制指标（2016版）的通知》，能够建立首页数据评分体系，对所有上传的数据按指定模板完成入库、脱敏、排重后，再进入质控排查、评分环节。依次执行疾病诊断相关分组质控排查，检查出存在的问题（包含强制错误或者疑似错误），能够实现每一份首页数据质控评分，准确展现全院病案首页数据质量情况汇总和每份病历的扣分汇总。</w:t>
      </w:r>
    </w:p>
    <w:p>
      <w:pPr>
        <w:pStyle w:val="32"/>
        <w:ind w:firstLine="420" w:firstLineChars="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质控逻辑需依据国际疾病分类编码之间的关系，同时结合首页的必填字段，可有效对主要诊断选择、合并编码、住院病情、手术及操作的合理性进行质控。</w:t>
      </w:r>
    </w:p>
    <w:p>
      <w:pPr>
        <w:pStyle w:val="32"/>
        <w:ind w:firstLine="0" w:firstLineChars="0"/>
        <w:rPr>
          <w:rFonts w:ascii="宋体" w:hAnsi="宋体"/>
          <w:szCs w:val="24"/>
        </w:rPr>
      </w:pPr>
    </w:p>
    <w:p>
      <w:pPr>
        <w:pStyle w:val="32"/>
        <w:ind w:firstLine="0" w:firstLineChars="0"/>
        <w:rPr>
          <w:rFonts w:ascii="宋体" w:hAnsi="宋体"/>
          <w:szCs w:val="24"/>
        </w:rPr>
      </w:pPr>
    </w:p>
    <w:p>
      <w:pPr>
        <w:pStyle w:val="32"/>
        <w:ind w:firstLine="0" w:firstLineChars="0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/>
          <w:szCs w:val="24"/>
        </w:rPr>
        <w:t>维护期：免费服务周期：一年</w:t>
      </w:r>
      <w:r>
        <w:rPr>
          <w:rFonts w:ascii="宋体" w:hAnsi="宋体"/>
          <w:szCs w:val="24"/>
        </w:rPr>
        <w:t xml:space="preserve"> </w:t>
      </w:r>
    </w:p>
    <w:p>
      <w:pPr>
        <w:pStyle w:val="12"/>
        <w:widowControl/>
        <w:shd w:val="clear" w:color="auto" w:fill="FFFFFF"/>
        <w:spacing w:beforeAutospacing="0" w:after="84" w:afterAutospacing="0" w:line="312" w:lineRule="atLeast"/>
        <w:rPr>
          <w:rFonts w:cs="Arial" w:asciiTheme="minorEastAsia" w:hAnsi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B0587"/>
    <w:multiLevelType w:val="multilevel"/>
    <w:tmpl w:val="079B0587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C44C8"/>
    <w:rsid w:val="0004118F"/>
    <w:rsid w:val="00056059"/>
    <w:rsid w:val="000D7E85"/>
    <w:rsid w:val="00111A51"/>
    <w:rsid w:val="00166BFC"/>
    <w:rsid w:val="00285724"/>
    <w:rsid w:val="002D1062"/>
    <w:rsid w:val="003D37DE"/>
    <w:rsid w:val="00421A62"/>
    <w:rsid w:val="004347F8"/>
    <w:rsid w:val="00454FED"/>
    <w:rsid w:val="00470A00"/>
    <w:rsid w:val="00497706"/>
    <w:rsid w:val="005A4FCA"/>
    <w:rsid w:val="00656FAF"/>
    <w:rsid w:val="006A0B32"/>
    <w:rsid w:val="00773792"/>
    <w:rsid w:val="00796AC2"/>
    <w:rsid w:val="007D5FA9"/>
    <w:rsid w:val="008103F6"/>
    <w:rsid w:val="008B733E"/>
    <w:rsid w:val="009440C4"/>
    <w:rsid w:val="00970AFB"/>
    <w:rsid w:val="00994F58"/>
    <w:rsid w:val="009B4E98"/>
    <w:rsid w:val="009D6A8C"/>
    <w:rsid w:val="00A1400E"/>
    <w:rsid w:val="00A21E68"/>
    <w:rsid w:val="00A80C35"/>
    <w:rsid w:val="00AD5444"/>
    <w:rsid w:val="00B02ED0"/>
    <w:rsid w:val="00B90DB7"/>
    <w:rsid w:val="00C36EFA"/>
    <w:rsid w:val="00C664AC"/>
    <w:rsid w:val="00CA1604"/>
    <w:rsid w:val="00CD5585"/>
    <w:rsid w:val="00D24A2D"/>
    <w:rsid w:val="00D3131B"/>
    <w:rsid w:val="00D513DB"/>
    <w:rsid w:val="00E46B18"/>
    <w:rsid w:val="00EE2F81"/>
    <w:rsid w:val="413C44C8"/>
    <w:rsid w:val="695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ind w:left="113" w:hanging="113"/>
      <w:jc w:val="left"/>
      <w:outlineLvl w:val="0"/>
    </w:pPr>
    <w:rPr>
      <w:rFonts w:ascii="Times New Roman" w:hAnsi="Times New Roman" w:eastAsia="宋体" w:cs="Times New Roman"/>
      <w:b/>
      <w:kern w:val="44"/>
      <w:sz w:val="30"/>
      <w:szCs w:val="20"/>
      <w:lang w:val="zh-CN" w:eastAsia="zh-CN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360"/>
      </w:tabs>
      <w:spacing w:before="280" w:after="290" w:line="376" w:lineRule="auto"/>
      <w:ind w:left="0" w:firstLine="0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30"/>
    <w:qFormat/>
    <w:uiPriority w:val="0"/>
    <w:pPr>
      <w:spacing w:after="120"/>
    </w:pPr>
  </w:style>
  <w:style w:type="paragraph" w:styleId="8">
    <w:name w:val="Plain Text"/>
    <w:basedOn w:val="1"/>
    <w:link w:val="22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20"/>
    <w:qFormat/>
    <w:uiPriority w:val="0"/>
    <w:pPr>
      <w:jc w:val="center"/>
    </w:pPr>
    <w:rPr>
      <w:rFonts w:ascii="Times New Roman" w:hAnsi="Times New Roman" w:eastAsia="宋体" w:cs="Times New Roman"/>
      <w:color w:val="FF00FF"/>
      <w:szCs w:val="20"/>
    </w:rPr>
  </w:style>
  <w:style w:type="paragraph" w:styleId="1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样式 样式 样式 样式 样式 样式 样式 正文首行缩进 2 + 左  0 字符 首行缩进:  1.71 字符 + 首行缩进:  ..."/>
    <w:basedOn w:val="1"/>
    <w:qFormat/>
    <w:uiPriority w:val="0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kern w:val="28"/>
      <w:sz w:val="24"/>
      <w:szCs w:val="20"/>
    </w:rPr>
  </w:style>
  <w:style w:type="character" w:customStyle="1" w:styleId="17">
    <w:name w:val="标题 1 字符"/>
    <w:basedOn w:val="14"/>
    <w:link w:val="2"/>
    <w:qFormat/>
    <w:uiPriority w:val="0"/>
    <w:rPr>
      <w:b/>
      <w:kern w:val="44"/>
      <w:sz w:val="30"/>
      <w:lang w:val="zh-CN" w:eastAsia="zh-CN"/>
    </w:rPr>
  </w:style>
  <w:style w:type="character" w:customStyle="1" w:styleId="18">
    <w:name w:val="列出段落 字符"/>
    <w:link w:val="19"/>
    <w:qFormat/>
    <w:locked/>
    <w:uiPriority w:val="34"/>
    <w:rPr>
      <w:sz w:val="24"/>
      <w:szCs w:val="24"/>
    </w:rPr>
  </w:style>
  <w:style w:type="paragraph" w:customStyle="1" w:styleId="19">
    <w:name w:val="列出段落"/>
    <w:basedOn w:val="1"/>
    <w:link w:val="18"/>
    <w:qFormat/>
    <w:uiPriority w:val="34"/>
    <w:pPr>
      <w:widowControl/>
      <w:ind w:left="72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20">
    <w:name w:val="正文文本 2 字符"/>
    <w:link w:val="11"/>
    <w:uiPriority w:val="0"/>
    <w:rPr>
      <w:color w:val="FF00FF"/>
      <w:kern w:val="2"/>
      <w:sz w:val="21"/>
    </w:rPr>
  </w:style>
  <w:style w:type="character" w:customStyle="1" w:styleId="21">
    <w:name w:val="正文文本 2 字符1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纯文本 字符"/>
    <w:basedOn w:val="14"/>
    <w:link w:val="8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25">
    <w:name w:val="页眉 字符"/>
    <w:basedOn w:val="14"/>
    <w:link w:val="10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28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0"/>
      <w:szCs w:val="32"/>
    </w:rPr>
  </w:style>
  <w:style w:type="character" w:customStyle="1" w:styleId="29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0">
    <w:name w:val="正文文本 字符"/>
    <w:basedOn w:val="14"/>
    <w:link w:val="7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标题 5 字符"/>
    <w:basedOn w:val="14"/>
    <w:link w:val="6"/>
    <w:semiHidden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paragraph" w:customStyle="1" w:styleId="3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Calibri" w:hAnsi="Calibri" w:eastAsia="宋体" w:cs="Times New Roman"/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1870</Words>
  <Characters>159</Characters>
  <Lines>1</Lines>
  <Paragraphs>4</Paragraphs>
  <TotalTime>7</TotalTime>
  <ScaleCrop>false</ScaleCrop>
  <LinksUpToDate>false</LinksUpToDate>
  <CharactersWithSpaces>2025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2021-07-23T05:38:00Z</dcterms:created>
  <dc:creator>Administrator</dc:creator>
  <cp:lastModifiedBy>李宝柱儿</cp:lastModifiedBy>
  <cp:lastPrinted>2021-04-16T03:30:00Z</cp:lastPrinted>
  <dcterms:modified xsi:type="dcterms:W3CDTF">2021-07-23T08:43:24Z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9C7A34C19026465F82F6243115C081C4</vt:lpwstr>
  </property>
</Properties>
</file>