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C96C" w14:textId="77777777" w:rsidR="008568E7" w:rsidRPr="00935842" w:rsidRDefault="008568E7" w:rsidP="008568E7">
      <w:pPr>
        <w:pStyle w:val="1"/>
        <w:spacing w:before="0" w:after="0" w:line="480" w:lineRule="auto"/>
        <w:jc w:val="center"/>
        <w:rPr>
          <w:rFonts w:ascii="宋体" w:hAnsi="宋体"/>
          <w:color w:val="000000"/>
          <w:sz w:val="32"/>
          <w:szCs w:val="32"/>
        </w:rPr>
      </w:pPr>
      <w:r w:rsidRPr="00935842">
        <w:rPr>
          <w:rFonts w:ascii="宋体" w:hAnsi="宋体" w:hint="eastAsia"/>
          <w:color w:val="000000"/>
          <w:sz w:val="32"/>
          <w:szCs w:val="32"/>
        </w:rPr>
        <w:t>项目需求书</w:t>
      </w:r>
    </w:p>
    <w:p w14:paraId="5B0C8A0A" w14:textId="77777777" w:rsidR="00705B67" w:rsidRPr="00720BE8" w:rsidRDefault="00705B6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</w:p>
    <w:p w14:paraId="0B1879C1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一、背景介绍</w:t>
      </w:r>
    </w:p>
    <w:p w14:paraId="4503859A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本项目是按照我院信息中心应用系统运维保障工作实际需要，以保障系统运行稳定，支撑全院实际医疗业务为目标，采购包含设备巡检维护、故障应急处理、硬件维修及软件安装调试等全项运维保障服务。</w:t>
      </w:r>
    </w:p>
    <w:p w14:paraId="33295065" w14:textId="77777777" w:rsidR="008568E7" w:rsidRPr="000D0EF5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0D0EF5">
        <w:rPr>
          <w:rFonts w:ascii="宋体" w:hAnsi="宋体" w:cs="Arial" w:hint="eastAsia"/>
          <w:color w:val="000000"/>
          <w:szCs w:val="21"/>
        </w:rPr>
        <w:t>二、维保清单</w:t>
      </w:r>
    </w:p>
    <w:p w14:paraId="52FDF84D" w14:textId="77777777" w:rsidR="008568E7" w:rsidRDefault="008568E7" w:rsidP="008568E7">
      <w:pPr>
        <w:spacing w:line="360" w:lineRule="auto"/>
        <w:ind w:firstLineChars="200" w:firstLine="420"/>
        <w:rPr>
          <w:szCs w:val="21"/>
        </w:rPr>
      </w:pPr>
      <w:r w:rsidRPr="000D0EF5">
        <w:rPr>
          <w:rFonts w:hint="eastAsia"/>
          <w:szCs w:val="21"/>
        </w:rPr>
        <w:t>该项运维工作共设计各类硬件设备及系统</w:t>
      </w:r>
      <w:r w:rsidR="00B52783">
        <w:rPr>
          <w:rFonts w:hint="eastAsia"/>
          <w:szCs w:val="21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3729"/>
        <w:gridCol w:w="2248"/>
      </w:tblGrid>
      <w:tr w:rsidR="00B447FA" w:rsidRPr="00042856" w14:paraId="3026FBF9" w14:textId="77777777" w:rsidTr="00C32BF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42B71FE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b/>
                <w:kern w:val="0"/>
                <w:szCs w:val="21"/>
              </w:rPr>
              <w:t>种 类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41C11D2D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b/>
                <w:kern w:val="0"/>
                <w:szCs w:val="21"/>
              </w:rPr>
              <w:t>品 牌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28892396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b/>
                <w:kern w:val="0"/>
                <w:szCs w:val="21"/>
              </w:rPr>
              <w:t>数 量</w:t>
            </w:r>
          </w:p>
        </w:tc>
      </w:tr>
      <w:tr w:rsidR="00B447FA" w:rsidRPr="00042856" w14:paraId="64174B72" w14:textId="77777777" w:rsidTr="00C32BF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4810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服务器及PC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6807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华为、HPE、DELL、IBM、联想等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2B1" w14:textId="77777777" w:rsidR="00B447FA" w:rsidRPr="00042856" w:rsidRDefault="00042856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</w:tr>
      <w:tr w:rsidR="00B447FA" w:rsidRPr="00042856" w14:paraId="67EFF879" w14:textId="77777777" w:rsidTr="00C32BF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B06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光纤交换机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3A0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华为、</w:t>
            </w:r>
            <w:r w:rsidRPr="00042856">
              <w:rPr>
                <w:rFonts w:ascii="宋体" w:hAnsi="宋体" w:cs="宋体"/>
                <w:kern w:val="0"/>
                <w:szCs w:val="21"/>
              </w:rPr>
              <w:t>Brocade</w:t>
            </w:r>
            <w:r w:rsidRPr="00042856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112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042856" w:rsidRPr="00042856" w14:paraId="2EF7F006" w14:textId="77777777" w:rsidTr="00C32BF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A3D" w14:textId="77777777" w:rsidR="00042856" w:rsidRPr="00042856" w:rsidRDefault="00042856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核心</w:t>
            </w:r>
            <w:r w:rsidRPr="00042856">
              <w:rPr>
                <w:rFonts w:ascii="宋体" w:hAnsi="宋体" w:cs="宋体" w:hint="eastAsia"/>
                <w:kern w:val="0"/>
                <w:szCs w:val="21"/>
              </w:rPr>
              <w:t>网络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7FA8" w14:textId="77777777" w:rsidR="00042856" w:rsidRPr="00042856" w:rsidRDefault="00042856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hint="eastAsia"/>
                <w:szCs w:val="21"/>
              </w:rPr>
              <w:t>★</w:t>
            </w:r>
            <w:r w:rsidRPr="00042856">
              <w:rPr>
                <w:rFonts w:ascii="宋体" w:hAnsi="宋体" w:cs="宋体" w:hint="eastAsia"/>
                <w:kern w:val="0"/>
                <w:szCs w:val="21"/>
              </w:rPr>
              <w:t>H</w:t>
            </w:r>
            <w:r w:rsidRPr="00042856">
              <w:rPr>
                <w:rFonts w:ascii="宋体" w:hAnsi="宋体" w:cs="宋体"/>
                <w:kern w:val="0"/>
                <w:szCs w:val="21"/>
              </w:rPr>
              <w:t>3</w:t>
            </w:r>
            <w:r w:rsidRPr="00042856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46A4" w14:textId="77777777" w:rsidR="00042856" w:rsidRPr="00042856" w:rsidRDefault="00042856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B447FA" w:rsidRPr="00042856" w14:paraId="7B9DD899" w14:textId="77777777" w:rsidTr="00C32BF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E5FA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机房网络、负载设备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2D1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华为、</w:t>
            </w:r>
            <w:proofErr w:type="spellStart"/>
            <w:r w:rsidRPr="00042856">
              <w:rPr>
                <w:rFonts w:ascii="宋体" w:hAnsi="宋体" w:cs="宋体" w:hint="eastAsia"/>
                <w:kern w:val="0"/>
                <w:szCs w:val="21"/>
              </w:rPr>
              <w:t>avaya</w:t>
            </w:r>
            <w:proofErr w:type="spellEnd"/>
            <w:r w:rsidRPr="00042856"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spellStart"/>
            <w:r w:rsidRPr="00042856">
              <w:rPr>
                <w:rFonts w:ascii="宋体" w:hAnsi="宋体" w:cs="宋体" w:hint="eastAsia"/>
                <w:kern w:val="0"/>
                <w:szCs w:val="21"/>
              </w:rPr>
              <w:t>radware</w:t>
            </w:r>
            <w:proofErr w:type="spellEnd"/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473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042856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042856" w:rsidRPr="00042856" w14:paraId="653C7024" w14:textId="77777777" w:rsidTr="00C32BF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A34" w14:textId="77777777" w:rsidR="00042856" w:rsidRPr="00042856" w:rsidRDefault="00042856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超融合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A37" w14:textId="77777777" w:rsidR="00042856" w:rsidRPr="00042856" w:rsidRDefault="00042856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深信服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040F" w14:textId="77777777" w:rsidR="00042856" w:rsidRPr="00042856" w:rsidRDefault="00042856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B447FA" w:rsidRPr="00042856" w14:paraId="4F752B92" w14:textId="77777777" w:rsidTr="00C32BF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F3DC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存储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682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宏杉，HDS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F2C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B447FA" w:rsidRPr="00042856" w14:paraId="3FE6E09C" w14:textId="77777777" w:rsidTr="00C32BF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6FE8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安全设备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F864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天融信、juniper等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764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B447FA" w:rsidRPr="00042856" w14:paraId="40ED9341" w14:textId="77777777" w:rsidTr="00C32BF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8CE0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备份软件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3CCD" w14:textId="77777777" w:rsidR="00B447FA" w:rsidRPr="00042856" w:rsidRDefault="00042856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hint="eastAsia"/>
                <w:szCs w:val="21"/>
              </w:rPr>
              <w:t>★</w:t>
            </w:r>
            <w:r w:rsidR="00B447FA" w:rsidRPr="00042856">
              <w:rPr>
                <w:rFonts w:ascii="宋体" w:hAnsi="宋体" w:cs="宋体" w:hint="eastAsia"/>
                <w:kern w:val="0"/>
                <w:szCs w:val="21"/>
              </w:rPr>
              <w:t>黑方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4CA0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B447FA" w:rsidRPr="00042856" w14:paraId="0523B74C" w14:textId="77777777" w:rsidTr="00C32BF7"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0BA3" w14:textId="77777777" w:rsidR="00B447FA" w:rsidRPr="00042856" w:rsidRDefault="00B52783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楼层</w:t>
            </w:r>
            <w:r w:rsidR="00B447FA" w:rsidRPr="00042856">
              <w:rPr>
                <w:rFonts w:ascii="宋体" w:hAnsi="宋体" w:cs="宋体" w:hint="eastAsia"/>
                <w:kern w:val="0"/>
                <w:szCs w:val="21"/>
              </w:rPr>
              <w:t>接入交换机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630D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042856">
              <w:rPr>
                <w:rFonts w:ascii="宋体" w:hAnsi="宋体" w:cs="宋体" w:hint="eastAsia"/>
                <w:kern w:val="0"/>
                <w:szCs w:val="21"/>
              </w:rPr>
              <w:t>avaya</w:t>
            </w:r>
            <w:proofErr w:type="spellEnd"/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C6DB" w14:textId="77777777" w:rsidR="00B447FA" w:rsidRPr="00042856" w:rsidRDefault="00B447FA" w:rsidP="00C32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2856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</w:tr>
    </w:tbl>
    <w:p w14:paraId="463B9C20" w14:textId="77777777" w:rsidR="00B447FA" w:rsidRPr="004A46EF" w:rsidRDefault="004A46EF" w:rsidP="004A46EF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提供标</w:t>
      </w:r>
      <w:r w:rsidRPr="00042856">
        <w:rPr>
          <w:rFonts w:ascii="宋体" w:hAnsi="宋体" w:hint="eastAsia"/>
          <w:szCs w:val="21"/>
        </w:rPr>
        <w:t>★</w:t>
      </w:r>
      <w:r>
        <w:rPr>
          <w:rFonts w:ascii="宋体" w:hAnsi="宋体" w:hint="eastAsia"/>
          <w:szCs w:val="21"/>
        </w:rPr>
        <w:t>产品的</w:t>
      </w:r>
      <w:r w:rsidRPr="004A46EF">
        <w:rPr>
          <w:rFonts w:hint="eastAsia"/>
          <w:szCs w:val="21"/>
        </w:rPr>
        <w:t>服务资质或产品代理授权或项目授权</w:t>
      </w:r>
      <w:r>
        <w:rPr>
          <w:rFonts w:hint="eastAsia"/>
          <w:szCs w:val="21"/>
        </w:rPr>
        <w:t>。</w:t>
      </w:r>
    </w:p>
    <w:p w14:paraId="77E15655" w14:textId="77777777" w:rsidR="00B447FA" w:rsidRPr="00B447FA" w:rsidRDefault="00B447FA" w:rsidP="00B447FA">
      <w:pPr>
        <w:pStyle w:val="a0"/>
      </w:pPr>
    </w:p>
    <w:p w14:paraId="1AB9EB80" w14:textId="77777777" w:rsidR="008568E7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</w:p>
    <w:p w14:paraId="698C4146" w14:textId="77777777" w:rsidR="00B52783" w:rsidRPr="00B52783" w:rsidRDefault="00B52783" w:rsidP="00B52783">
      <w:pPr>
        <w:pStyle w:val="a0"/>
      </w:pPr>
    </w:p>
    <w:p w14:paraId="44B107FA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三、运维服务要求</w:t>
      </w:r>
    </w:p>
    <w:p w14:paraId="568BCAB9" w14:textId="77777777" w:rsidR="008568E7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1、</w:t>
      </w:r>
      <w:r w:rsidRPr="00874378">
        <w:rPr>
          <w:rFonts w:ascii="宋体" w:hAnsi="宋体" w:cs="Arial" w:hint="eastAsia"/>
          <w:color w:val="000000"/>
          <w:szCs w:val="21"/>
        </w:rPr>
        <w:t>服务期限：</w:t>
      </w:r>
      <w:r w:rsidR="00F40C41">
        <w:rPr>
          <w:rFonts w:ascii="宋体" w:hAnsi="宋体" w:cs="Arial" w:hint="eastAsia"/>
          <w:color w:val="000000"/>
          <w:szCs w:val="21"/>
        </w:rPr>
        <w:t>自2</w:t>
      </w:r>
      <w:r w:rsidR="00F40C41">
        <w:rPr>
          <w:rFonts w:ascii="宋体" w:hAnsi="宋体" w:cs="Arial"/>
          <w:color w:val="000000"/>
          <w:szCs w:val="21"/>
        </w:rPr>
        <w:t>022</w:t>
      </w:r>
      <w:r w:rsidR="00F40C41">
        <w:rPr>
          <w:rFonts w:ascii="宋体" w:hAnsi="宋体" w:cs="Arial" w:hint="eastAsia"/>
          <w:color w:val="000000"/>
          <w:szCs w:val="21"/>
        </w:rPr>
        <w:t>年2月1日至2</w:t>
      </w:r>
      <w:r w:rsidR="00F40C41">
        <w:rPr>
          <w:rFonts w:ascii="宋体" w:hAnsi="宋体" w:cs="Arial"/>
          <w:color w:val="000000"/>
          <w:szCs w:val="21"/>
        </w:rPr>
        <w:t>023</w:t>
      </w:r>
      <w:r w:rsidR="00F40C41">
        <w:rPr>
          <w:rFonts w:ascii="宋体" w:hAnsi="宋体" w:cs="Arial" w:hint="eastAsia"/>
          <w:color w:val="000000"/>
          <w:szCs w:val="21"/>
        </w:rPr>
        <w:t>年1月3</w:t>
      </w:r>
      <w:r w:rsidR="00F40C41">
        <w:rPr>
          <w:rFonts w:ascii="宋体" w:hAnsi="宋体" w:cs="Arial"/>
          <w:color w:val="000000"/>
          <w:szCs w:val="21"/>
        </w:rPr>
        <w:t>1</w:t>
      </w:r>
      <w:r w:rsidR="00F40C41">
        <w:rPr>
          <w:rFonts w:ascii="宋体" w:hAnsi="宋体" w:cs="Arial" w:hint="eastAsia"/>
          <w:color w:val="000000"/>
          <w:szCs w:val="21"/>
        </w:rPr>
        <w:t>日</w:t>
      </w:r>
      <w:r w:rsidRPr="00874378">
        <w:rPr>
          <w:rFonts w:ascii="宋体" w:hAnsi="宋体" w:cs="Arial" w:hint="eastAsia"/>
          <w:color w:val="000000"/>
          <w:szCs w:val="21"/>
        </w:rPr>
        <w:t>。</w:t>
      </w:r>
    </w:p>
    <w:p w14:paraId="4BED114B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2、维保服务内容：</w:t>
      </w:r>
    </w:p>
    <w:p w14:paraId="60BD4E46" w14:textId="7D7644AE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1）提供</w:t>
      </w:r>
      <w:proofErr w:type="gramStart"/>
      <w:r w:rsidRPr="006B4D60">
        <w:rPr>
          <w:rFonts w:ascii="宋体" w:hAnsi="宋体" w:cs="Arial" w:hint="eastAsia"/>
          <w:color w:val="000000"/>
          <w:szCs w:val="21"/>
        </w:rPr>
        <w:t>维保范围</w:t>
      </w:r>
      <w:proofErr w:type="gramEnd"/>
      <w:r w:rsidRPr="006B4D60">
        <w:rPr>
          <w:rFonts w:ascii="宋体" w:hAnsi="宋体" w:cs="Arial" w:hint="eastAsia"/>
          <w:color w:val="000000"/>
          <w:szCs w:val="21"/>
        </w:rPr>
        <w:t>内的设备部件故障排除、修复或更换；</w:t>
      </w:r>
    </w:p>
    <w:p w14:paraId="5970C013" w14:textId="3D35BD4C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2）提供设备连接线路之间的免费维修更换及其他部件故障的技术支持。</w:t>
      </w:r>
    </w:p>
    <w:p w14:paraId="55858147" w14:textId="51ABF0A3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3）需提供7×24全天候热线，支持进行故障报修或提出技术支持请求。</w:t>
      </w:r>
    </w:p>
    <w:p w14:paraId="7DBD5B9A" w14:textId="4C3B89DC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lastRenderedPageBreak/>
        <w:t>4）需在接到用户要求提供现场服务的通知后，1小时内派遣技术工程师到达现场。</w:t>
      </w:r>
    </w:p>
    <w:p w14:paraId="647028D7" w14:textId="2324A54D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5）应提供不限次数的特殊时间现场服务，如重要系统投产、切换、变更等。</w:t>
      </w:r>
    </w:p>
    <w:p w14:paraId="3DDBB0B9" w14:textId="4FE62F6C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6）应提供1次/</w:t>
      </w:r>
      <w:r w:rsidR="00B52783">
        <w:rPr>
          <w:rFonts w:ascii="宋体" w:hAnsi="宋体" w:cs="Arial" w:hint="eastAsia"/>
          <w:color w:val="000000"/>
          <w:szCs w:val="21"/>
        </w:rPr>
        <w:t>季度</w:t>
      </w:r>
      <w:r w:rsidRPr="006B4D60">
        <w:rPr>
          <w:rFonts w:ascii="宋体" w:hAnsi="宋体" w:cs="Arial" w:hint="eastAsia"/>
          <w:color w:val="000000"/>
          <w:szCs w:val="21"/>
        </w:rPr>
        <w:t>的巡检服务，并提供相应服务报告。</w:t>
      </w:r>
    </w:p>
    <w:p w14:paraId="30178346" w14:textId="4CB621C4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7）应对维护内容提出合理化建议，并按我行要求进行专题讨论、分析、优化等。</w:t>
      </w:r>
    </w:p>
    <w:p w14:paraId="1113D4A5" w14:textId="023A4CC0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8）应提供各类设备硬件及软件系统的日常维护工作，包络设备维修、设备配置变更、设备迁移及线路改造所需配合的工作等事宜。</w:t>
      </w:r>
    </w:p>
    <w:p w14:paraId="40D18AF8" w14:textId="119F0E7C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9）协助用户进行备份数据恢复验证（提供关键业务数据恢复验证所需的支持，满足数据应用验证要求）。</w:t>
      </w:r>
    </w:p>
    <w:p w14:paraId="41CD1B71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10）提供数据库支持服务。</w:t>
      </w:r>
    </w:p>
    <w:p w14:paraId="74A2A599" w14:textId="084A3BC9" w:rsidR="00B52783" w:rsidRDefault="00B52783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★</w:t>
      </w:r>
      <w:r w:rsidR="008568E7" w:rsidRPr="006B4D60">
        <w:rPr>
          <w:rFonts w:ascii="宋体" w:hAnsi="宋体" w:cs="Arial" w:hint="eastAsia"/>
          <w:color w:val="000000"/>
          <w:szCs w:val="21"/>
        </w:rPr>
        <w:t>11）</w:t>
      </w:r>
      <w:r w:rsidR="00D226C9">
        <w:rPr>
          <w:rFonts w:ascii="宋体" w:hAnsi="宋体" w:cs="Arial" w:hint="eastAsia"/>
          <w:color w:val="000000"/>
          <w:szCs w:val="21"/>
        </w:rPr>
        <w:t>在运维服务期内提供</w:t>
      </w:r>
      <w:r w:rsidR="008568E7" w:rsidRPr="006B4D60">
        <w:rPr>
          <w:rFonts w:ascii="宋体" w:hAnsi="宋体" w:cs="Arial" w:hint="eastAsia"/>
          <w:color w:val="000000"/>
          <w:szCs w:val="21"/>
        </w:rPr>
        <w:t>一套运</w:t>
      </w:r>
      <w:proofErr w:type="gramStart"/>
      <w:r w:rsidR="008568E7" w:rsidRPr="006B4D60">
        <w:rPr>
          <w:rFonts w:ascii="宋体" w:hAnsi="宋体" w:cs="Arial" w:hint="eastAsia"/>
          <w:color w:val="000000"/>
          <w:szCs w:val="21"/>
        </w:rPr>
        <w:t>维管理</w:t>
      </w:r>
      <w:proofErr w:type="gramEnd"/>
      <w:r w:rsidR="008568E7" w:rsidRPr="006B4D60">
        <w:rPr>
          <w:rFonts w:ascii="宋体" w:hAnsi="宋体" w:cs="Arial" w:hint="eastAsia"/>
          <w:color w:val="000000"/>
          <w:szCs w:val="21"/>
        </w:rPr>
        <w:t>平台</w:t>
      </w:r>
      <w:r w:rsidR="00D226C9">
        <w:rPr>
          <w:rFonts w:ascii="宋体" w:hAnsi="宋体" w:cs="Arial" w:hint="eastAsia"/>
          <w:color w:val="000000"/>
          <w:szCs w:val="21"/>
        </w:rPr>
        <w:t>作为运维期内配套工具进行使用</w:t>
      </w:r>
      <w:r w:rsidR="008568E7" w:rsidRPr="006B4D60">
        <w:rPr>
          <w:rFonts w:ascii="宋体" w:hAnsi="宋体" w:cs="Arial" w:hint="eastAsia"/>
          <w:color w:val="000000"/>
          <w:szCs w:val="21"/>
        </w:rPr>
        <w:t>，用于相关IT运维数据的展现，实现在一个界面将告警管理、HIS数据库空间占用情况、超融合平台健康状态数据投放大屏进行统一展现。</w:t>
      </w:r>
      <w:r w:rsidRPr="00B52783">
        <w:rPr>
          <w:rFonts w:ascii="宋体" w:hAnsi="宋体" w:cs="Arial" w:hint="eastAsia"/>
          <w:color w:val="000000"/>
          <w:szCs w:val="21"/>
        </w:rPr>
        <w:t>能够对麒麟操作系统等进行实时监控，且该系统可在麒麟操作系统上进行部署。</w:t>
      </w:r>
      <w:r w:rsidR="008614E3">
        <w:rPr>
          <w:rFonts w:ascii="宋体" w:hAnsi="宋体" w:cs="Arial" w:hint="eastAsia"/>
          <w:color w:val="000000"/>
          <w:szCs w:val="21"/>
        </w:rPr>
        <w:t>提供针对院内自主终端机及相关服务整体监控。</w:t>
      </w:r>
    </w:p>
    <w:p w14:paraId="1EB7DFD6" w14:textId="22E43E47" w:rsidR="008568E7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12）</w:t>
      </w:r>
      <w:r w:rsidR="00D226C9">
        <w:rPr>
          <w:rFonts w:ascii="宋体" w:hAnsi="宋体" w:cs="Arial" w:hint="eastAsia"/>
          <w:color w:val="000000"/>
          <w:szCs w:val="21"/>
        </w:rPr>
        <w:t>在运维服务期内提供一套</w:t>
      </w:r>
      <w:r w:rsidRPr="006B4D60">
        <w:rPr>
          <w:rFonts w:ascii="宋体" w:hAnsi="宋体" w:cs="Arial" w:hint="eastAsia"/>
          <w:color w:val="000000"/>
          <w:szCs w:val="21"/>
        </w:rPr>
        <w:t>具备ITIL流程管理功能的</w:t>
      </w:r>
      <w:proofErr w:type="spellStart"/>
      <w:r w:rsidRPr="006B4D60">
        <w:rPr>
          <w:rFonts w:ascii="宋体" w:hAnsi="宋体" w:cs="Arial" w:hint="eastAsia"/>
          <w:color w:val="000000"/>
          <w:szCs w:val="21"/>
        </w:rPr>
        <w:t>Saas</w:t>
      </w:r>
      <w:proofErr w:type="spellEnd"/>
      <w:r w:rsidRPr="006B4D60">
        <w:rPr>
          <w:rFonts w:ascii="宋体" w:hAnsi="宋体" w:cs="Arial" w:hint="eastAsia"/>
          <w:color w:val="000000"/>
          <w:szCs w:val="21"/>
        </w:rPr>
        <w:t>化服务的运维服务云平台</w:t>
      </w:r>
      <w:r w:rsidR="00D226C9">
        <w:rPr>
          <w:rFonts w:ascii="宋体" w:hAnsi="宋体" w:cs="Arial" w:hint="eastAsia"/>
          <w:color w:val="000000"/>
          <w:szCs w:val="21"/>
        </w:rPr>
        <w:t>作为运维期内配套工具进行使用</w:t>
      </w:r>
      <w:r w:rsidRPr="006B4D60">
        <w:rPr>
          <w:rFonts w:ascii="宋体" w:hAnsi="宋体" w:cs="Arial" w:hint="eastAsia"/>
          <w:color w:val="000000"/>
          <w:szCs w:val="21"/>
        </w:rPr>
        <w:t>。在云端平台提供如下支持服务：对运维事件、问题、变更、发布及时追踪，记录处理过程及解决方法，并建立知识库，便于针对出现频率高的事件做好提前预防措施</w:t>
      </w:r>
      <w:r w:rsidR="00B52783">
        <w:rPr>
          <w:rFonts w:ascii="宋体" w:hAnsi="宋体" w:cs="Arial" w:hint="eastAsia"/>
          <w:color w:val="000000"/>
          <w:szCs w:val="21"/>
        </w:rPr>
        <w:t>。</w:t>
      </w:r>
    </w:p>
    <w:p w14:paraId="0F12D4F6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3、维保人员要求：</w:t>
      </w:r>
    </w:p>
    <w:p w14:paraId="60808807" w14:textId="1DFB6F63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1）应具有本地化技术支持团队，提供专业化技术服务。团队人数不少于4人。团队组成人员须经过审查认可，与我院签订保密协议。</w:t>
      </w:r>
    </w:p>
    <w:p w14:paraId="3DEF6A41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2）团队中指定一名专职服务经理，负责7×24小时全面协调、设备维修服务等相关事宜。</w:t>
      </w:r>
    </w:p>
    <w:p w14:paraId="24CC272B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3）团队成员至少应包含项目经理、数据库认证工程师、网络认证工程师、IT系统工程</w:t>
      </w:r>
      <w:r w:rsidRPr="006B4D60">
        <w:rPr>
          <w:rFonts w:ascii="宋体" w:hAnsi="宋体" w:cs="Arial" w:hint="eastAsia"/>
          <w:color w:val="000000"/>
          <w:szCs w:val="21"/>
        </w:rPr>
        <w:lastRenderedPageBreak/>
        <w:t>师、CISP角色。</w:t>
      </w:r>
    </w:p>
    <w:p w14:paraId="47075125" w14:textId="51ECE641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4）团队成员组成合理。</w:t>
      </w:r>
    </w:p>
    <w:p w14:paraId="7EC0DEF1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四</w:t>
      </w:r>
      <w:r w:rsidRPr="006B4D60">
        <w:rPr>
          <w:rFonts w:ascii="宋体" w:hAnsi="宋体" w:cs="Arial" w:hint="eastAsia"/>
          <w:color w:val="000000"/>
          <w:szCs w:val="21"/>
        </w:rPr>
        <w:t>、交付物要求</w:t>
      </w:r>
    </w:p>
    <w:p w14:paraId="4835AFF9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1、</w:t>
      </w:r>
      <w:r w:rsidRPr="006B4D60">
        <w:rPr>
          <w:rFonts w:ascii="宋体" w:hAnsi="宋体" w:cs="Arial" w:hint="eastAsia"/>
          <w:color w:val="000000"/>
          <w:szCs w:val="21"/>
        </w:rPr>
        <w:tab/>
        <w:t>年度维护服务方案和维护服务计划。</w:t>
      </w:r>
    </w:p>
    <w:p w14:paraId="4EACB700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2、</w:t>
      </w:r>
      <w:r w:rsidRPr="006B4D60">
        <w:rPr>
          <w:rFonts w:ascii="宋体" w:hAnsi="宋体" w:cs="Arial" w:hint="eastAsia"/>
          <w:color w:val="000000"/>
          <w:szCs w:val="21"/>
        </w:rPr>
        <w:tab/>
        <w:t>执行的巡检维护工作报告、总结建议以及运行状况分析文档等。</w:t>
      </w:r>
    </w:p>
    <w:p w14:paraId="52F56925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3、</w:t>
      </w:r>
      <w:r w:rsidRPr="006B4D60">
        <w:rPr>
          <w:rFonts w:ascii="宋体" w:hAnsi="宋体" w:cs="Arial" w:hint="eastAsia"/>
          <w:color w:val="000000"/>
          <w:szCs w:val="21"/>
        </w:rPr>
        <w:tab/>
        <w:t>现场工作报告，包括维护记录、故障分析和解决报告等。</w:t>
      </w:r>
    </w:p>
    <w:p w14:paraId="2BCF8ABB" w14:textId="77777777" w:rsidR="008568E7" w:rsidRPr="006B4D60" w:rsidRDefault="008568E7" w:rsidP="008568E7">
      <w:pPr>
        <w:tabs>
          <w:tab w:val="left" w:pos="210"/>
        </w:tabs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 w:cs="Arial"/>
          <w:color w:val="000000"/>
          <w:szCs w:val="21"/>
        </w:rPr>
      </w:pPr>
      <w:r w:rsidRPr="006B4D60">
        <w:rPr>
          <w:rFonts w:ascii="宋体" w:hAnsi="宋体" w:cs="Arial" w:hint="eastAsia"/>
          <w:color w:val="000000"/>
          <w:szCs w:val="21"/>
        </w:rPr>
        <w:t>4、</w:t>
      </w:r>
      <w:r w:rsidRPr="006B4D60">
        <w:rPr>
          <w:rFonts w:ascii="宋体" w:hAnsi="宋体" w:cs="Arial" w:hint="eastAsia"/>
          <w:color w:val="000000"/>
          <w:szCs w:val="21"/>
        </w:rPr>
        <w:tab/>
        <w:t>服务总结、年度服务总结报告：包括服务年度内维护总结报告和建议。</w:t>
      </w:r>
    </w:p>
    <w:p w14:paraId="1E3DC2C0" w14:textId="77777777" w:rsidR="00486AAF" w:rsidRPr="002A47EF" w:rsidRDefault="002A47EF"/>
    <w:sectPr w:rsidR="00486AAF" w:rsidRPr="002A47EF" w:rsidSect="00E47E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E7"/>
    <w:rsid w:val="00042856"/>
    <w:rsid w:val="002A47EF"/>
    <w:rsid w:val="004A46EF"/>
    <w:rsid w:val="00705B67"/>
    <w:rsid w:val="00720BE8"/>
    <w:rsid w:val="007A4FDD"/>
    <w:rsid w:val="007A76C8"/>
    <w:rsid w:val="007E4FC5"/>
    <w:rsid w:val="008568E7"/>
    <w:rsid w:val="008614E3"/>
    <w:rsid w:val="00B447FA"/>
    <w:rsid w:val="00B52783"/>
    <w:rsid w:val="00D226C9"/>
    <w:rsid w:val="00E47EDB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37B2"/>
  <w15:chartTrackingRefBased/>
  <w15:docId w15:val="{D758CF6A-B270-8948-A1ED-9D84747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568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568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-">
    <w:name w:val="sh-正文"/>
    <w:basedOn w:val="a"/>
    <w:autoRedefine/>
    <w:qFormat/>
    <w:rsid w:val="007A76C8"/>
    <w:pPr>
      <w:jc w:val="center"/>
    </w:pPr>
    <w:rPr>
      <w:rFonts w:asciiTheme="minorHAnsi" w:hAnsiTheme="minorHAnsi" w:cs="Times New Roman (正文 CS 字体)"/>
      <w:sz w:val="28"/>
      <w:szCs w:val="22"/>
    </w:rPr>
  </w:style>
  <w:style w:type="character" w:customStyle="1" w:styleId="10">
    <w:name w:val="标题 1 字符"/>
    <w:basedOn w:val="a1"/>
    <w:link w:val="1"/>
    <w:rsid w:val="008568E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Body Text"/>
    <w:basedOn w:val="a"/>
    <w:link w:val="a4"/>
    <w:uiPriority w:val="99"/>
    <w:semiHidden/>
    <w:unhideWhenUsed/>
    <w:rsid w:val="008568E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8568E7"/>
    <w:rPr>
      <w:rFonts w:ascii="Times New Roman" w:eastAsia="宋体" w:hAnsi="Times New Roman" w:cs="Times New Roman"/>
      <w:szCs w:val="20"/>
    </w:rPr>
  </w:style>
  <w:style w:type="paragraph" w:styleId="a5">
    <w:name w:val="Normal (Web)"/>
    <w:basedOn w:val="a"/>
    <w:uiPriority w:val="99"/>
    <w:rsid w:val="00705B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zhang wei</cp:lastModifiedBy>
  <cp:revision>10</cp:revision>
  <dcterms:created xsi:type="dcterms:W3CDTF">2021-08-24T23:08:00Z</dcterms:created>
  <dcterms:modified xsi:type="dcterms:W3CDTF">2021-09-08T02:07:00Z</dcterms:modified>
</cp:coreProperties>
</file>