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before="0" w:beforeAutospacing="0" w:after="0" w:afterAutospacing="0" w:line="360" w:lineRule="auto"/>
        <w:jc w:val="both"/>
        <w:rPr>
          <w:rFonts w:hint="eastAsia" w:ascii="STSongStd-Light-UniGB-UCS2-H" w:hAnsi="STSongStd-Light-UniGB-UCS2-H"/>
        </w:rPr>
      </w:pPr>
      <w:bookmarkStart w:id="2" w:name="_GoBack"/>
      <w:bookmarkEnd w:id="2"/>
      <w:r>
        <w:rPr>
          <w:rFonts w:hint="eastAsia" w:ascii="Times New Roman" w:hAnsi="Times New Roman" w:cs="Times New Roman"/>
        </w:rPr>
        <w:t>项目名称：</w:t>
      </w:r>
      <w:r>
        <w:rPr>
          <w:rFonts w:hint="eastAsia" w:ascii="STSongStd-Light-UniGB-UCS2-H" w:hAnsi="STSongStd-Light-UniGB-UCS2-H"/>
        </w:rPr>
        <w:t>前列腺癌诊疗新技术的研发与应用</w:t>
      </w:r>
      <w:r>
        <w:rPr>
          <w:rFonts w:ascii="STSongStd-Light-UniGB-UCS2-H" w:hAnsi="STSongStd-Light-UniGB-UCS2-H"/>
        </w:rPr>
        <w:t xml:space="preserve"> </w:t>
      </w:r>
    </w:p>
    <w:p>
      <w:pPr>
        <w:pStyle w:val="5"/>
        <w:snapToGrid w:val="0"/>
        <w:spacing w:before="0" w:beforeAutospacing="0" w:after="0" w:afterAutospacing="0" w:line="360" w:lineRule="auto"/>
        <w:jc w:val="both"/>
        <w:rPr>
          <w:rFonts w:ascii="Times New Roman" w:hAnsi="Times New Roman" w:cs="Times New Roman"/>
        </w:rPr>
      </w:pPr>
      <w:r>
        <w:rPr>
          <w:rFonts w:hint="eastAsia"/>
        </w:rPr>
        <w:t>提名奖项和等级：</w:t>
      </w:r>
      <w:r>
        <w:rPr>
          <w:rFonts w:ascii="Times New Roman" w:hAnsi="Times New Roman" w:cs="Times New Roman"/>
        </w:rPr>
        <w:t>科学技术进步奖</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一</w:t>
      </w:r>
      <w:r>
        <w:rPr>
          <w:rFonts w:ascii="Times New Roman" w:hAnsi="Times New Roman" w:cs="Times New Roman"/>
        </w:rPr>
        <w:t>等奖</w:t>
      </w:r>
    </w:p>
    <w:p>
      <w:pPr>
        <w:snapToGrid w:val="0"/>
        <w:spacing w:line="360" w:lineRule="auto"/>
        <w:rPr>
          <w:rFonts w:ascii="Times New Roman" w:hAnsi="Times New Roman" w:cs="Times New Roman"/>
        </w:rPr>
      </w:pPr>
      <w:r>
        <w:rPr>
          <w:rFonts w:hint="eastAsia" w:ascii="Times New Roman" w:hAnsi="Times New Roman" w:cs="Times New Roman"/>
        </w:rPr>
        <w:t>主要完成单位：天津医科大学第二医院</w:t>
      </w:r>
    </w:p>
    <w:p>
      <w:pPr>
        <w:snapToGrid w:val="0"/>
        <w:spacing w:line="360" w:lineRule="auto"/>
        <w:rPr>
          <w:rFonts w:ascii="Times New Roman" w:hAnsi="Times New Roman" w:cs="Times New Roman"/>
        </w:rPr>
      </w:pPr>
      <w:r>
        <w:rPr>
          <w:rFonts w:hint="eastAsia" w:ascii="Times New Roman" w:hAnsi="Times New Roman" w:cs="Times New Roman"/>
        </w:rPr>
        <w:t>主要完成人：牛远杰，刘冉录，赵阳，王勇，田晶，杨阔，尚芝群，李伟，徐勇，杜娥，朱识淼，温思萌，</w:t>
      </w:r>
      <w:r>
        <w:rPr>
          <w:rFonts w:ascii="Times New Roman" w:hAnsi="Times New Roman" w:cs="Times New Roman"/>
        </w:rPr>
        <w:t xml:space="preserve"> </w:t>
      </w:r>
    </w:p>
    <w:p>
      <w:pPr>
        <w:snapToGrid w:val="0"/>
        <w:spacing w:line="360" w:lineRule="auto"/>
        <w:rPr>
          <w:rFonts w:ascii="Times New Roman" w:hAnsi="Times New Roman" w:cs="Times New Roman"/>
        </w:rPr>
      </w:pPr>
      <w:r>
        <w:rPr>
          <w:rFonts w:hint="eastAsia" w:ascii="Times New Roman" w:hAnsi="Times New Roman" w:cs="Times New Roman"/>
        </w:rPr>
        <w:t>提名者：天津医科大学</w:t>
      </w:r>
    </w:p>
    <w:p>
      <w:pPr>
        <w:pStyle w:val="5"/>
        <w:spacing w:line="360" w:lineRule="auto"/>
        <w:jc w:val="both"/>
        <w:rPr>
          <w:rFonts w:ascii="Times New Roman" w:hAnsi="Times New Roman" w:cs="Times New Roman"/>
          <w:color w:val="000000" w:themeColor="text1"/>
          <w:shd w:val="clear" w:color="auto" w:fill="FFFFFF"/>
          <w14:textFill>
            <w14:solidFill>
              <w14:schemeClr w14:val="tx1"/>
            </w14:solidFill>
          </w14:textFill>
        </w:rPr>
      </w:pPr>
      <w:r>
        <w:rPr>
          <w:rFonts w:hint="eastAsia" w:ascii="Times New Roman" w:hAnsi="Times New Roman" w:cs="Times New Roman"/>
          <w:b/>
          <w:color w:val="000000" w:themeColor="text1"/>
          <w:shd w:val="clear" w:color="auto" w:fill="FFFFFF"/>
          <w14:textFill>
            <w14:solidFill>
              <w14:schemeClr w14:val="tx1"/>
            </w14:solidFill>
          </w14:textFill>
        </w:rPr>
        <w:t>项目简介：</w:t>
      </w:r>
      <w:r>
        <w:rPr>
          <w:rFonts w:ascii="Times New Roman" w:hAnsi="Times New Roman" w:cs="Times New Roman"/>
          <w:color w:val="000000" w:themeColor="text1"/>
          <w:shd w:val="clear" w:color="auto" w:fill="FFFFFF"/>
          <w14:textFill>
            <w14:solidFill>
              <w14:schemeClr w14:val="tx1"/>
            </w14:solidFill>
          </w14:textFill>
        </w:rPr>
        <w:t>本项目属于</w:t>
      </w:r>
      <w:r>
        <w:rPr>
          <w:rFonts w:hint="eastAsia" w:ascii="Times New Roman" w:hAnsi="Times New Roman" w:cs="Times New Roman"/>
          <w:color w:val="000000" w:themeColor="text1"/>
          <w:shd w:val="clear" w:color="auto" w:fill="FFFFFF"/>
          <w14:textFill>
            <w14:solidFill>
              <w14:schemeClr w14:val="tx1"/>
            </w14:solidFill>
          </w14:textFill>
        </w:rPr>
        <w:t>外科学（泌尿外）</w:t>
      </w:r>
      <w:r>
        <w:rPr>
          <w:rFonts w:ascii="Times New Roman" w:hAnsi="Times New Roman" w:cs="Times New Roman"/>
          <w:color w:val="000000" w:themeColor="text1"/>
          <w:shd w:val="clear" w:color="auto" w:fill="FFFFFF"/>
          <w14:textFill>
            <w14:solidFill>
              <w14:schemeClr w14:val="tx1"/>
            </w14:solidFill>
          </w14:textFill>
        </w:rPr>
        <w:t>研究领域。</w:t>
      </w:r>
      <w:r>
        <w:rPr>
          <w:rFonts w:hint="eastAsia"/>
        </w:rPr>
        <w:t>前列腺癌是男性泌尿生殖系统最常见的恶性肿瘤。近年来，我国前列腺癌的发病率和病死率均呈现明显的持续增长趋势。与欧美国家不同的是，中国新确诊患者晚期比例更高，如何提高前列腺癌的早期诊断率是我国前列腺癌临床诊疗中面临的重要问题。另一方面，晚期前列腺癌患者目前国内外均采取去势治疗、化疗、放疗以及免疫治疗，但是，无论哪一种治疗都没有取得令人满意的临床疗效。究其原因是国际上缺乏针对晚期前列腺癌制定统一的、系统的、科学的诊疗模式。</w:t>
      </w:r>
      <w:r>
        <w:rPr>
          <w:rFonts w:ascii="Times New Roman" w:hAnsi="Times New Roman" w:cs="Times New Roman"/>
          <w:color w:val="000000" w:themeColor="text1"/>
          <w:shd w:val="clear" w:color="auto" w:fill="FFFFFF"/>
          <w14:textFill>
            <w14:solidFill>
              <w14:schemeClr w14:val="tx1"/>
            </w14:solidFill>
          </w14:textFill>
        </w:rPr>
        <w:t>本研究通过临床与基础研究</w:t>
      </w:r>
      <w:r>
        <w:rPr>
          <w:rFonts w:hint="eastAsia" w:ascii="Times New Roman" w:hAnsi="Times New Roman" w:cs="Times New Roman"/>
          <w:color w:val="000000" w:themeColor="text1"/>
          <w:shd w:val="clear" w:color="auto" w:fill="FFFFFF"/>
          <w14:textFill>
            <w14:solidFill>
              <w14:schemeClr w14:val="tx1"/>
            </w14:solidFill>
          </w14:textFill>
        </w:rPr>
        <w:t>，系统性解决前列腺癌从早期诊断、前列腺癌根治术、晚期前列腺癌的分子分型和精准治疗方面所面临的临床难题。为我国乃至国际前列腺癌疾病的诊疗上提供新的“中国模式”。</w:t>
      </w:r>
      <w:r>
        <w:rPr>
          <w:rFonts w:ascii="Times New Roman" w:hAnsi="Times New Roman" w:cs="Times New Roman"/>
          <w:color w:val="000000" w:themeColor="text1"/>
          <w:shd w:val="clear" w:color="auto" w:fill="FFFFFF"/>
          <w14:textFill>
            <w14:solidFill>
              <w14:schemeClr w14:val="tx1"/>
            </w14:solidFill>
          </w14:textFill>
        </w:rPr>
        <w:t>本项目主要研究内容：</w:t>
      </w:r>
      <w:r>
        <w:rPr>
          <w:rFonts w:hint="eastAsia" w:ascii="Times New Roman" w:hAnsi="Times New Roman" w:cs="Times New Roman"/>
          <w:color w:val="000000" w:themeColor="text1"/>
          <w:shd w:val="clear" w:color="auto" w:fill="FFFFFF"/>
          <w14:textFill>
            <w14:solidFill>
              <w14:schemeClr w14:val="tx1"/>
            </w14:solidFill>
          </w14:textFill>
        </w:rPr>
        <w:t>一、前列腺癌诊断技术的研发与应用：</w:t>
      </w:r>
      <w:r>
        <w:rPr>
          <w:rFonts w:ascii="Times New Roman" w:hAnsi="Times New Roman" w:cs="Times New Roman"/>
          <w:color w:val="000000" w:themeColor="text1"/>
          <w:shd w:val="clear" w:color="auto" w:fill="FFFFFF"/>
          <w14:textFill>
            <w14:solidFill>
              <w14:schemeClr w14:val="tx1"/>
            </w14:solidFill>
          </w14:textFill>
        </w:rPr>
        <w:t>前列腺癌穿刺活检技术的研发与应用</w:t>
      </w:r>
      <w:r>
        <w:rPr>
          <w:rFonts w:hint="eastAsia" w:ascii="Times New Roman" w:hAnsi="Times New Roman" w:cs="Times New Roman"/>
          <w:color w:val="000000" w:themeColor="text1"/>
          <w:shd w:val="clear" w:color="auto" w:fill="FFFFFF"/>
          <w14:textFill>
            <w14:solidFill>
              <w14:schemeClr w14:val="tx1"/>
            </w14:solidFill>
          </w14:textFill>
        </w:rPr>
        <w:t>；</w:t>
      </w:r>
      <w:r>
        <w:rPr>
          <w:rFonts w:ascii="Times New Roman" w:hAnsi="Times New Roman" w:cs="Times New Roman"/>
          <w:color w:val="000000" w:themeColor="text1"/>
          <w:shd w:val="clear" w:color="auto" w:fill="FFFFFF"/>
          <w14:textFill>
            <w14:solidFill>
              <w14:schemeClr w14:val="tx1"/>
            </w14:solidFill>
          </w14:textFill>
        </w:rPr>
        <w:t>前列腺系统穿刺/饱和穿刺活检标本盒的研发及临床转化</w:t>
      </w:r>
      <w:r>
        <w:rPr>
          <w:rFonts w:hint="eastAsia" w:ascii="Times New Roman" w:hAnsi="Times New Roman" w:cs="Times New Roman"/>
          <w:color w:val="000000" w:themeColor="text1"/>
          <w:shd w:val="clear" w:color="auto" w:fill="FFFFFF"/>
          <w14:textFill>
            <w14:solidFill>
              <w14:schemeClr w14:val="tx1"/>
            </w14:solidFill>
          </w14:textFill>
        </w:rPr>
        <w:t>；基于分子影像的前列腺癌早期诊断技术的开发与应用；基于大数据、人工智能、二代测序技术的晚期</w:t>
      </w:r>
      <w:r>
        <w:rPr>
          <w:rFonts w:ascii="Times New Roman" w:hAnsi="Times New Roman" w:cs="Times New Roman"/>
          <w:color w:val="000000" w:themeColor="text1"/>
          <w:shd w:val="clear" w:color="auto" w:fill="FFFFFF"/>
          <w14:textFill>
            <w14:solidFill>
              <w14:schemeClr w14:val="tx1"/>
            </w14:solidFill>
          </w14:textFill>
        </w:rPr>
        <w:t>前列腺癌的分子分型</w:t>
      </w:r>
      <w:r>
        <w:rPr>
          <w:rFonts w:hint="eastAsia" w:ascii="Times New Roman" w:hAnsi="Times New Roman" w:cs="Times New Roman"/>
          <w:color w:val="000000" w:themeColor="text1"/>
          <w:shd w:val="clear" w:color="auto" w:fill="FFFFFF"/>
          <w14:textFill>
            <w14:solidFill>
              <w14:schemeClr w14:val="tx1"/>
            </w14:solidFill>
          </w14:textFill>
        </w:rPr>
        <w:t>技术的</w:t>
      </w:r>
      <w:r>
        <w:rPr>
          <w:rFonts w:ascii="Times New Roman" w:hAnsi="Times New Roman" w:cs="Times New Roman"/>
          <w:color w:val="000000" w:themeColor="text1"/>
          <w:shd w:val="clear" w:color="auto" w:fill="FFFFFF"/>
          <w14:textFill>
            <w14:solidFill>
              <w14:schemeClr w14:val="tx1"/>
            </w14:solidFill>
          </w14:textFill>
        </w:rPr>
        <w:t>临床应用</w:t>
      </w:r>
      <w:r>
        <w:rPr>
          <w:rFonts w:hint="eastAsia" w:ascii="Times New Roman" w:hAnsi="Times New Roman" w:cs="Times New Roman"/>
          <w:color w:val="000000" w:themeColor="text1"/>
          <w:shd w:val="clear" w:color="auto" w:fill="FFFFFF"/>
          <w14:textFill>
            <w14:solidFill>
              <w14:schemeClr w14:val="tx1"/>
            </w14:solidFill>
          </w14:textFill>
        </w:rPr>
        <w:t>。二、前列腺癌的治疗技术的创新</w:t>
      </w:r>
      <w:r>
        <w:rPr>
          <w:rFonts w:ascii="Times New Roman" w:hAnsi="Times New Roman" w:cs="Times New Roman"/>
          <w:color w:val="000000" w:themeColor="text1"/>
          <w:shd w:val="clear" w:color="auto" w:fill="FFFFFF"/>
          <w14:textFill>
            <w14:solidFill>
              <w14:schemeClr w14:val="tx1"/>
            </w14:solidFill>
          </w14:textFill>
        </w:rPr>
        <w:t>：单孔、机器人辅助前列腺癌根治术腹腔镜技术创新</w:t>
      </w:r>
      <w:r>
        <w:rPr>
          <w:rFonts w:hint="eastAsia" w:ascii="Times New Roman" w:hAnsi="Times New Roman" w:cs="Times New Roman"/>
          <w:color w:val="000000" w:themeColor="text1"/>
          <w:shd w:val="clear" w:color="auto" w:fill="FFFFFF"/>
          <w14:textFill>
            <w14:solidFill>
              <w14:schemeClr w14:val="tx1"/>
            </w14:solidFill>
          </w14:textFill>
        </w:rPr>
        <w:t>；</w:t>
      </w:r>
      <w:r>
        <w:rPr>
          <w:rFonts w:ascii="Times New Roman" w:hAnsi="Times New Roman" w:cs="Times New Roman"/>
          <w:color w:val="000000" w:themeColor="text1"/>
          <w:shd w:val="clear" w:color="auto" w:fill="FFFFFF"/>
          <w14:textFill>
            <w14:solidFill>
              <w14:schemeClr w14:val="tx1"/>
            </w14:solidFill>
          </w14:textFill>
        </w:rPr>
        <w:t>控尿技术的改进和性功能的保留技术的创新</w:t>
      </w:r>
      <w:r>
        <w:rPr>
          <w:rFonts w:hint="eastAsia" w:ascii="Times New Roman" w:hAnsi="Times New Roman" w:cs="Times New Roman"/>
          <w:color w:val="000000" w:themeColor="text1"/>
          <w:shd w:val="clear" w:color="auto" w:fill="FFFFFF"/>
          <w14:textFill>
            <w14:solidFill>
              <w14:schemeClr w14:val="tx1"/>
            </w14:solidFill>
          </w14:textFill>
        </w:rPr>
        <w:t>；</w:t>
      </w:r>
      <w:r>
        <w:rPr>
          <w:rFonts w:ascii="Times New Roman" w:hAnsi="Times New Roman" w:cs="Times New Roman"/>
          <w:color w:val="000000" w:themeColor="text1"/>
          <w:shd w:val="clear" w:color="auto" w:fill="FFFFFF"/>
          <w14:textFill>
            <w14:solidFill>
              <w14:schemeClr w14:val="tx1"/>
            </w14:solidFill>
          </w14:textFill>
        </w:rPr>
        <w:t>晚期前列腺癌精准治疗方案的创新</w:t>
      </w:r>
      <w:r>
        <w:rPr>
          <w:rFonts w:hint="eastAsia" w:ascii="Times New Roman" w:hAnsi="Times New Roman" w:cs="Times New Roman"/>
          <w:color w:val="000000" w:themeColor="text1"/>
          <w:shd w:val="clear" w:color="auto" w:fill="FFFFFF"/>
          <w14:textFill>
            <w14:solidFill>
              <w14:schemeClr w14:val="tx1"/>
            </w14:solidFill>
          </w14:textFill>
        </w:rPr>
        <w:t>三、前列腺癌诊疗一体化管理模式的创新：</w:t>
      </w:r>
      <w:r>
        <w:rPr>
          <w:rFonts w:ascii="Times New Roman" w:hAnsi="Times New Roman" w:cs="Times New Roman"/>
          <w:color w:val="000000" w:themeColor="text1"/>
          <w:shd w:val="clear" w:color="auto" w:fill="FFFFFF"/>
          <w14:textFill>
            <w14:solidFill>
              <w14:schemeClr w14:val="tx1"/>
            </w14:solidFill>
          </w14:textFill>
        </w:rPr>
        <w:t>一体化病房的建立</w:t>
      </w:r>
      <w:r>
        <w:rPr>
          <w:rFonts w:hint="eastAsia" w:ascii="Times New Roman" w:hAnsi="Times New Roman" w:cs="Times New Roman"/>
          <w:color w:val="000000" w:themeColor="text1"/>
          <w:shd w:val="clear" w:color="auto" w:fill="FFFFFF"/>
          <w14:textFill>
            <w14:solidFill>
              <w14:schemeClr w14:val="tx1"/>
            </w14:solidFill>
          </w14:textFill>
        </w:rPr>
        <w:t>；</w:t>
      </w:r>
      <w:r>
        <w:rPr>
          <w:rFonts w:ascii="Times New Roman" w:hAnsi="Times New Roman" w:cs="Times New Roman"/>
          <w:color w:val="000000" w:themeColor="text1"/>
          <w:shd w:val="clear" w:color="auto" w:fill="FFFFFF"/>
          <w14:textFill>
            <w14:solidFill>
              <w14:schemeClr w14:val="tx1"/>
            </w14:solidFill>
          </w14:textFill>
        </w:rPr>
        <w:t>规范化诊疗指南的建立与评价</w:t>
      </w:r>
      <w:r>
        <w:rPr>
          <w:rFonts w:hint="eastAsia" w:ascii="Times New Roman" w:hAnsi="Times New Roman" w:cs="Times New Roman"/>
          <w:color w:val="000000" w:themeColor="text1"/>
          <w:shd w:val="clear" w:color="auto" w:fill="FFFFFF"/>
          <w14:textFill>
            <w14:solidFill>
              <w14:schemeClr w14:val="tx1"/>
            </w14:solidFill>
          </w14:textFill>
        </w:rPr>
        <w:t>；</w:t>
      </w:r>
      <w:r>
        <w:rPr>
          <w:rFonts w:ascii="Times New Roman" w:hAnsi="Times New Roman" w:cs="Times New Roman"/>
          <w:color w:val="000000" w:themeColor="text1"/>
          <w:shd w:val="clear" w:color="auto" w:fill="FFFFFF"/>
          <w14:textFill>
            <w14:solidFill>
              <w14:schemeClr w14:val="tx1"/>
            </w14:solidFill>
          </w14:textFill>
        </w:rPr>
        <w:t>前列腺癌患者的全程管理</w:t>
      </w:r>
      <w:r>
        <w:rPr>
          <w:rFonts w:hint="eastAsia" w:ascii="Times New Roman" w:hAnsi="Times New Roman" w:cs="Times New Roman"/>
          <w:color w:val="000000" w:themeColor="text1"/>
          <w:shd w:val="clear" w:color="auto" w:fill="FFFFFF"/>
          <w14:textFill>
            <w14:solidFill>
              <w14:schemeClr w14:val="tx1"/>
            </w14:solidFill>
          </w14:textFill>
        </w:rPr>
        <w:t>。</w:t>
      </w:r>
      <w:r>
        <w:rPr>
          <w:rFonts w:ascii="Times New Roman" w:hAnsi="Times New Roman" w:cs="Times New Roman"/>
          <w:color w:val="000000" w:themeColor="text1"/>
          <w:shd w:val="clear" w:color="auto" w:fill="FFFFFF"/>
          <w14:textFill>
            <w14:solidFill>
              <w14:schemeClr w14:val="tx1"/>
            </w14:solidFill>
          </w14:textFill>
        </w:rPr>
        <w:t>目前研究成果已在</w:t>
      </w:r>
      <w:r>
        <w:rPr>
          <w:rFonts w:hint="eastAsia" w:ascii="Times New Roman" w:hAnsi="Times New Roman" w:cs="Times New Roman"/>
          <w:color w:val="000000" w:themeColor="text1"/>
          <w:shd w:val="clear" w:color="auto" w:fill="FFFFFF"/>
          <w14:textFill>
            <w14:solidFill>
              <w14:schemeClr w14:val="tx1"/>
            </w14:solidFill>
          </w14:textFill>
        </w:rPr>
        <w:t>北大医院、解放军总医院</w:t>
      </w:r>
      <w:r>
        <w:rPr>
          <w:rFonts w:ascii="Times New Roman" w:hAnsi="Times New Roman" w:cs="Times New Roman"/>
          <w:color w:val="000000" w:themeColor="text1"/>
          <w:shd w:val="clear" w:color="auto" w:fill="FFFFFF"/>
          <w14:textFill>
            <w14:solidFill>
              <w14:schemeClr w14:val="tx1"/>
            </w14:solidFill>
          </w14:textFill>
        </w:rPr>
        <w:t>等</w:t>
      </w:r>
      <w:r>
        <w:rPr>
          <w:rFonts w:hint="eastAsia" w:ascii="Times New Roman" w:hAnsi="Times New Roman" w:cs="Times New Roman"/>
          <w:color w:val="000000" w:themeColor="text1"/>
          <w:shd w:val="clear" w:color="auto" w:fill="FFFFFF"/>
          <w14:textFill>
            <w14:solidFill>
              <w14:schemeClr w14:val="tx1"/>
            </w14:solidFill>
          </w14:textFill>
        </w:rPr>
        <w:t>多</w:t>
      </w:r>
      <w:r>
        <w:rPr>
          <w:rFonts w:ascii="Times New Roman" w:hAnsi="Times New Roman" w:cs="Times New Roman"/>
          <w:color w:val="000000" w:themeColor="text1"/>
          <w:shd w:val="clear" w:color="auto" w:fill="FFFFFF"/>
          <w14:textFill>
            <w14:solidFill>
              <w14:schemeClr w14:val="tx1"/>
            </w14:solidFill>
          </w14:textFill>
        </w:rPr>
        <w:t>家医院进行应用推广，取得了良好的社会效益。本研究发表</w:t>
      </w:r>
      <w:r>
        <w:rPr>
          <w:rFonts w:hint="eastAsia" w:ascii="Times New Roman" w:hAnsi="Times New Roman" w:cs="Times New Roman"/>
          <w:color w:val="000000" w:themeColor="text1"/>
          <w:shd w:val="clear" w:color="auto" w:fill="FFFFFF"/>
          <w14:textFill>
            <w14:solidFill>
              <w14:schemeClr w14:val="tx1"/>
            </w14:solidFill>
          </w14:textFill>
        </w:rPr>
        <w:t>高水平学术</w:t>
      </w:r>
      <w:r>
        <w:rPr>
          <w:rFonts w:ascii="Times New Roman" w:hAnsi="Times New Roman" w:cs="Times New Roman"/>
          <w:color w:val="000000" w:themeColor="text1"/>
          <w:shd w:val="clear" w:color="auto" w:fill="FFFFFF"/>
          <w14:textFill>
            <w14:solidFill>
              <w14:schemeClr w14:val="tx1"/>
            </w14:solidFill>
          </w14:textFill>
        </w:rPr>
        <w:t>论文16篇，</w:t>
      </w:r>
      <w:r>
        <w:rPr>
          <w:rFonts w:hint="eastAsia" w:ascii="Times New Roman" w:hAnsi="Times New Roman" w:cs="Times New Roman"/>
          <w:color w:val="000000" w:themeColor="text1"/>
          <w:shd w:val="clear" w:color="auto" w:fill="FFFFFF"/>
          <w14:textFill>
            <w14:solidFill>
              <w14:schemeClr w14:val="tx1"/>
            </w14:solidFill>
          </w14:textFill>
        </w:rPr>
        <w:t>专著1部，</w:t>
      </w:r>
      <w:r>
        <w:rPr>
          <w:rFonts w:ascii="Times New Roman" w:hAnsi="Times New Roman" w:cs="Times New Roman"/>
          <w:color w:val="000000" w:themeColor="text1"/>
          <w:shd w:val="clear" w:color="auto" w:fill="FFFFFF"/>
          <w14:textFill>
            <w14:solidFill>
              <w14:schemeClr w14:val="tx1"/>
            </w14:solidFill>
          </w14:textFill>
        </w:rPr>
        <w:t>最高影响因子30.849分，登记科技成果1项，授权专利8项，培养10名博士和12名硕士。研究成果经查新站查新，未见与其整体相同中外文献报道；专家组鉴定给予较好评价。</w:t>
      </w:r>
    </w:p>
    <w:p>
      <w:pPr>
        <w:pStyle w:val="5"/>
        <w:spacing w:line="360" w:lineRule="auto"/>
        <w:jc w:val="both"/>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发现点</w:t>
      </w:r>
      <w:r>
        <w:rPr>
          <w:rFonts w:ascii="Times New Roman" w:hAnsi="Times New Roman" w:cs="Times New Roman"/>
          <w:b/>
          <w:color w:val="000000" w:themeColor="text1"/>
          <w14:textFill>
            <w14:solidFill>
              <w14:schemeClr w14:val="tx1"/>
            </w14:solidFill>
          </w14:textFill>
        </w:rPr>
        <w:t>/</w:t>
      </w:r>
      <w:r>
        <w:rPr>
          <w:rFonts w:hint="eastAsia" w:ascii="Times New Roman" w:hAnsi="Times New Roman" w:cs="Times New Roman"/>
          <w:b/>
          <w:color w:val="000000" w:themeColor="text1"/>
          <w14:textFill>
            <w14:solidFill>
              <w14:schemeClr w14:val="tx1"/>
            </w14:solidFill>
          </w14:textFill>
        </w:rPr>
        <w:t>发明点/创新点：</w:t>
      </w:r>
    </w:p>
    <w:p>
      <w:pPr>
        <w:spacing w:line="360" w:lineRule="auto"/>
        <w:jc w:val="both"/>
      </w:pPr>
      <w:r>
        <w:rPr>
          <w:rFonts w:hint="eastAsia"/>
        </w:rPr>
        <w:t>1</w:t>
      </w:r>
      <w:r>
        <w:t>.</w:t>
      </w:r>
      <w:r>
        <w:rPr>
          <w:rFonts w:ascii="Times New Roman" w:hAnsi="Times New Roman" w:cs="Times New Roman"/>
          <w:color w:val="000000" w:themeColor="text1"/>
          <w:shd w:val="clear" w:color="auto" w:fill="FFFFFF"/>
          <w14:textFill>
            <w14:solidFill>
              <w14:schemeClr w14:val="tx1"/>
            </w14:solidFill>
          </w14:textFill>
        </w:rPr>
        <w:t xml:space="preserve"> 前列腺系统穿刺/饱和穿刺活检标本盒的研发</w:t>
      </w:r>
      <w:r>
        <w:rPr>
          <w:rFonts w:hint="eastAsia" w:ascii="Times New Roman" w:hAnsi="Times New Roman" w:cs="Times New Roman"/>
          <w:color w:val="000000" w:themeColor="text1"/>
          <w:shd w:val="clear" w:color="auto" w:fill="FFFFFF"/>
          <w14:textFill>
            <w14:solidFill>
              <w14:schemeClr w14:val="tx1"/>
            </w14:solidFill>
          </w14:textFill>
        </w:rPr>
        <w:t>与转化</w:t>
      </w:r>
      <w:r>
        <w:rPr>
          <w:rFonts w:hint="eastAsia" w:ascii="Times New Roman" w:hAnsi="Times New Roman" w:cs="Times New Roman"/>
        </w:rPr>
        <w:t>。</w:t>
      </w:r>
    </w:p>
    <w:p>
      <w:pPr>
        <w:spacing w:line="360" w:lineRule="auto"/>
        <w:rPr>
          <w:rFonts w:ascii="Times New Roman" w:hAnsi="Times New Roman" w:cs="Times New Roman"/>
          <w:color w:val="000000" w:themeColor="text1"/>
          <w:shd w:val="clear" w:color="auto" w:fill="FFFFFF"/>
          <w14:textFill>
            <w14:solidFill>
              <w14:schemeClr w14:val="tx1"/>
            </w14:solidFill>
          </w14:textFill>
        </w:rPr>
      </w:pPr>
      <w:r>
        <w:rPr>
          <w:rFonts w:hint="eastAsia"/>
        </w:rPr>
        <w:t>2</w:t>
      </w:r>
      <w:r>
        <w:t>.</w:t>
      </w:r>
      <w:r>
        <w:rPr>
          <w:rFonts w:hint="eastAsia" w:ascii="Times New Roman" w:hAnsi="Times New Roman" w:cs="Times New Roman"/>
          <w:color w:val="000000" w:themeColor="text1"/>
          <w:shd w:val="clear" w:color="auto" w:fill="FFFFFF"/>
          <w14:textFill>
            <w14:solidFill>
              <w14:schemeClr w14:val="tx1"/>
            </w14:solidFill>
          </w14:textFill>
        </w:rPr>
        <w:t xml:space="preserve"> </w:t>
      </w:r>
      <w:r>
        <w:rPr>
          <w:rFonts w:ascii="Times New Roman" w:hAnsi="Times New Roman" w:cs="Times New Roman"/>
          <w:color w:val="000000" w:themeColor="text1"/>
          <w:shd w:val="clear" w:color="auto" w:fill="FFFFFF"/>
          <w14:textFill>
            <w14:solidFill>
              <w14:schemeClr w14:val="tx1"/>
            </w14:solidFill>
          </w14:textFill>
        </w:rPr>
        <w:t>局麻经会阴MRI-TURS融合引导下前列腺靶向穿刺技术的创新与应用</w:t>
      </w:r>
      <w:r>
        <w:rPr>
          <w:rFonts w:hint="eastAsia" w:ascii="Times New Roman" w:hAnsi="Times New Roman" w:cs="Times New Roman"/>
          <w:color w:val="000000" w:themeColor="text1"/>
          <w:shd w:val="clear" w:color="auto" w:fill="FFFFFF"/>
          <w14:textFill>
            <w14:solidFill>
              <w14:schemeClr w14:val="tx1"/>
            </w14:solidFill>
          </w14:textFill>
        </w:rPr>
        <w:t>。</w:t>
      </w:r>
    </w:p>
    <w:p>
      <w:pPr>
        <w:spacing w:line="360" w:lineRule="auto"/>
      </w:pPr>
      <w:r>
        <w:rPr>
          <w:rFonts w:cs="Times New Roman"/>
        </w:rPr>
        <w:t>3.</w:t>
      </w:r>
      <w:r>
        <w:rPr>
          <w:rFonts w:hint="eastAsia" w:ascii="Times New Roman" w:hAnsi="Times New Roman" w:cs="Times New Roman"/>
          <w:color w:val="000000" w:themeColor="text1"/>
          <w:shd w:val="clear" w:color="auto" w:fill="FFFFFF"/>
          <w14:textFill>
            <w14:solidFill>
              <w14:schemeClr w14:val="tx1"/>
            </w14:solidFill>
          </w14:textFill>
        </w:rPr>
        <w:t xml:space="preserve"> 基于分子影像的前列腺癌早期诊断技术的开发</w:t>
      </w:r>
      <w:r>
        <w:rPr>
          <w:rFonts w:hint="eastAsia" w:ascii="Times New Roman" w:hAnsi="Times New Roman" w:cs="Times New Roman"/>
        </w:rPr>
        <w:t>。</w:t>
      </w:r>
    </w:p>
    <w:p>
      <w:pPr>
        <w:spacing w:line="360" w:lineRule="auto"/>
        <w:jc w:val="both"/>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 xml:space="preserve">  </w:t>
      </w:r>
      <w:r>
        <w:rPr>
          <w:rFonts w:hint="eastAsia" w:ascii="Times New Roman" w:hAnsi="Times New Roman" w:cs="Times New Roman"/>
        </w:rPr>
        <w:t>机器人前列腺癌根治术腹腔镜技术创新与推广。</w:t>
      </w:r>
    </w:p>
    <w:p>
      <w:pPr>
        <w:spacing w:line="360" w:lineRule="auto"/>
        <w:rPr>
          <w:rFonts w:cs="Times New Roman"/>
        </w:rPr>
      </w:pPr>
      <w:r>
        <w:rPr>
          <w:rFonts w:hint="eastAsia" w:cs="Times New Roman"/>
        </w:rPr>
        <w:t>5</w:t>
      </w:r>
      <w:r>
        <w:rPr>
          <w:rFonts w:cs="Times New Roman"/>
        </w:rPr>
        <w:t xml:space="preserve">  </w:t>
      </w:r>
      <w:r>
        <w:rPr>
          <w:rFonts w:ascii="Times New Roman" w:hAnsi="Times New Roman" w:cs="Times New Roman"/>
          <w:color w:val="000000" w:themeColor="text1"/>
          <w:shd w:val="clear" w:color="auto" w:fill="FFFFFF"/>
          <w14:textFill>
            <w14:solidFill>
              <w14:schemeClr w14:val="tx1"/>
            </w14:solidFill>
          </w14:textFill>
        </w:rPr>
        <w:t>控尿技术的改进和性功能的保留技术的创新</w:t>
      </w:r>
      <w:r>
        <w:rPr>
          <w:rFonts w:hint="eastAsia" w:ascii="Times New Roman" w:hAnsi="Times New Roman" w:cs="Times New Roman"/>
          <w:color w:val="000000" w:themeColor="text1"/>
          <w:shd w:val="clear" w:color="auto" w:fill="FFFFFF"/>
          <w14:textFill>
            <w14:solidFill>
              <w14:schemeClr w14:val="tx1"/>
            </w14:solidFill>
          </w14:textFill>
        </w:rPr>
        <w:t>与应用推广。</w:t>
      </w:r>
    </w:p>
    <w:p>
      <w:pPr>
        <w:spacing w:line="360" w:lineRule="auto"/>
        <w:rPr>
          <w:rFonts w:cs="Times New Roman"/>
        </w:rPr>
      </w:pPr>
      <w:r>
        <w:rPr>
          <w:rFonts w:hint="eastAsia" w:cs="Times New Roman"/>
        </w:rPr>
        <w:t>6</w:t>
      </w:r>
      <w:r>
        <w:rPr>
          <w:rFonts w:cs="Times New Roman"/>
        </w:rPr>
        <w:t xml:space="preserve">  </w:t>
      </w:r>
      <w:r>
        <w:rPr>
          <w:rFonts w:hint="eastAsia" w:cs="Times New Roman"/>
        </w:rPr>
        <w:t>晚期前列腺癌精准治疗方案的创新理论的提出与应用。</w:t>
      </w:r>
    </w:p>
    <w:p>
      <w:pPr>
        <w:spacing w:line="360" w:lineRule="auto"/>
        <w:rPr>
          <w:rFonts w:cs="Times New Roman"/>
        </w:rPr>
      </w:pPr>
      <w:r>
        <w:rPr>
          <w:rFonts w:hint="eastAsia" w:cs="Times New Roman"/>
        </w:rPr>
        <w:t>7</w:t>
      </w:r>
      <w:r>
        <w:rPr>
          <w:rFonts w:cs="Times New Roman"/>
        </w:rPr>
        <w:t xml:space="preserve">  </w:t>
      </w:r>
      <w:r>
        <w:rPr>
          <w:rFonts w:hint="eastAsia" w:cs="Times New Roman"/>
        </w:rPr>
        <w:t>前列腺癌专病病房的建立与患者的全程管理理念的实践。</w:t>
      </w:r>
    </w:p>
    <w:p>
      <w:pPr>
        <w:spacing w:line="360" w:lineRule="auto"/>
        <w:rPr>
          <w:rFonts w:ascii="Times New Roman" w:hAnsi="Times New Roman" w:cs="Times New Roman"/>
          <w:b/>
        </w:rPr>
      </w:pPr>
      <w:r>
        <w:rPr>
          <w:rFonts w:hint="eastAsia" w:ascii="Times New Roman" w:hAnsi="Times New Roman" w:cs="Times New Roman"/>
          <w:b/>
        </w:rPr>
        <w:t>主要技术支撑材料：8篇代表性论文（专著），8篇代表性论文（专著）引用情况检索报告，8份份专利授权书</w:t>
      </w:r>
    </w:p>
    <w:p>
      <w:pPr>
        <w:spacing w:line="360" w:lineRule="auto"/>
        <w:rPr>
          <w:rFonts w:ascii="Times New Roman" w:hAnsi="Times New Roman" w:cs="Times New Roman"/>
        </w:rPr>
      </w:pPr>
      <w:r>
        <w:rPr>
          <w:rFonts w:ascii="Times New Roman" w:hAnsi="Times New Roman" w:cs="Times New Roman"/>
        </w:rPr>
        <w:t>代表性论文</w:t>
      </w:r>
    </w:p>
    <w:p>
      <w:pPr>
        <w:spacing w:line="360" w:lineRule="auto"/>
        <w:jc w:val="both"/>
        <w:rPr>
          <w:rFonts w:ascii="Times New Roman" w:hAnsi="Times New Roman"/>
        </w:rPr>
      </w:pPr>
      <w:bookmarkStart w:id="0" w:name="OLE_LINK54"/>
      <w:r>
        <w:rPr>
          <w:rFonts w:ascii="Times New Roman" w:hAnsi="Times New Roman"/>
          <w:bCs/>
        </w:rPr>
        <w:t xml:space="preserve">[1] </w:t>
      </w:r>
      <w:r>
        <w:rPr>
          <w:rFonts w:ascii="Times New Roman" w:hAnsi="Times New Roman"/>
        </w:rPr>
        <w:t>Zhao Y, Peng J, Yang J, Zhang E, Huang L, Yang H, Kakadiaris E, Li J, Yan B, Shang Z, Jiang N, Zhang X, Han G</w:t>
      </w:r>
      <w:r>
        <w:rPr>
          <w:rFonts w:ascii="Times New Roman" w:hAnsi="Times New Roman"/>
          <w:vertAlign w:val="superscript"/>
        </w:rPr>
        <w:t>*</w:t>
      </w:r>
      <w:r>
        <w:rPr>
          <w:rFonts w:ascii="Times New Roman" w:hAnsi="Times New Roman"/>
        </w:rPr>
        <w:t xml:space="preserve">, </w:t>
      </w:r>
      <w:r>
        <w:rPr>
          <w:rFonts w:ascii="Times New Roman" w:hAnsi="Times New Roman"/>
          <w:b/>
          <w:bCs/>
        </w:rPr>
        <w:t>Niu Y</w:t>
      </w:r>
      <w:r>
        <w:rPr>
          <w:rFonts w:ascii="Times New Roman" w:hAnsi="Times New Roman"/>
          <w:b/>
          <w:bCs/>
          <w:vertAlign w:val="superscript"/>
        </w:rPr>
        <w:t>*</w:t>
      </w:r>
      <w:r>
        <w:rPr>
          <w:rFonts w:ascii="Times New Roman" w:hAnsi="Times New Roman"/>
        </w:rPr>
        <w:t>. Enhancing Prostate-Cancer-Specific MRI</w:t>
      </w:r>
      <w:r>
        <w:rPr>
          <w:rFonts w:hint="eastAsia" w:ascii="Times New Roman" w:hAnsi="Times New Roman"/>
        </w:rPr>
        <w:t xml:space="preserve"> </w:t>
      </w:r>
      <w:r>
        <w:rPr>
          <w:rFonts w:ascii="Times New Roman" w:hAnsi="Times New Roman"/>
        </w:rPr>
        <w:t>by Genetic Amplified Nanoparticle Tumor Homing. Adv Mater. 2019</w:t>
      </w:r>
      <w:r>
        <w:rPr>
          <w:rFonts w:hint="eastAsia" w:ascii="Times New Roman" w:hAnsi="Times New Roman"/>
        </w:rPr>
        <w:t xml:space="preserve"> </w:t>
      </w:r>
      <w:r>
        <w:rPr>
          <w:rFonts w:ascii="Times New Roman" w:hAnsi="Times New Roman"/>
        </w:rPr>
        <w:t>Jul;31(30):e1900928.</w:t>
      </w:r>
    </w:p>
    <w:p>
      <w:pPr>
        <w:spacing w:line="360" w:lineRule="auto"/>
        <w:jc w:val="both"/>
        <w:rPr>
          <w:rFonts w:ascii="Times New Roman" w:hAnsi="Times New Roman"/>
        </w:rPr>
      </w:pPr>
      <w:r>
        <w:rPr>
          <w:rFonts w:ascii="Times New Roman" w:hAnsi="Times New Roman"/>
        </w:rPr>
        <w:t>[2] Zhao Y, Peng J, Li J, Huang L, Yang J, Huang K, Li H, Jiang N, Zheng S, Zhang</w:t>
      </w:r>
    </w:p>
    <w:p>
      <w:pPr>
        <w:spacing w:line="360" w:lineRule="auto"/>
        <w:jc w:val="both"/>
        <w:rPr>
          <w:rFonts w:ascii="Times New Roman" w:hAnsi="Times New Roman"/>
        </w:rPr>
      </w:pPr>
      <w:r>
        <w:rPr>
          <w:rFonts w:ascii="Times New Roman" w:hAnsi="Times New Roman"/>
        </w:rPr>
        <w:t>X</w:t>
      </w:r>
      <w:r>
        <w:rPr>
          <w:rFonts w:ascii="Times New Roman" w:hAnsi="Times New Roman"/>
          <w:vertAlign w:val="superscript"/>
        </w:rPr>
        <w:t>*</w:t>
      </w:r>
      <w:r>
        <w:rPr>
          <w:rFonts w:ascii="Times New Roman" w:hAnsi="Times New Roman"/>
        </w:rPr>
        <w:t xml:space="preserve">, </w:t>
      </w:r>
      <w:r>
        <w:rPr>
          <w:rFonts w:ascii="Times New Roman" w:hAnsi="Times New Roman"/>
          <w:b/>
          <w:bCs/>
        </w:rPr>
        <w:t>Niu Y</w:t>
      </w:r>
      <w:r>
        <w:rPr>
          <w:rFonts w:ascii="Times New Roman" w:hAnsi="Times New Roman"/>
          <w:b/>
          <w:bCs/>
          <w:vertAlign w:val="superscript"/>
        </w:rPr>
        <w:t>*</w:t>
      </w:r>
      <w:r>
        <w:rPr>
          <w:rFonts w:ascii="Times New Roman" w:hAnsi="Times New Roman"/>
        </w:rPr>
        <w:t>, Han G</w:t>
      </w:r>
      <w:r>
        <w:rPr>
          <w:rFonts w:ascii="Times New Roman" w:hAnsi="Times New Roman"/>
          <w:vertAlign w:val="superscript"/>
        </w:rPr>
        <w:t>*</w:t>
      </w:r>
      <w:r>
        <w:rPr>
          <w:rFonts w:ascii="Times New Roman" w:hAnsi="Times New Roman"/>
        </w:rPr>
        <w:t>. Tumor-Targeted and Clearable Human Protein-Based MRI</w:t>
      </w:r>
    </w:p>
    <w:p>
      <w:pPr>
        <w:spacing w:line="360" w:lineRule="auto"/>
        <w:jc w:val="both"/>
        <w:rPr>
          <w:rFonts w:ascii="Times New Roman" w:hAnsi="Times New Roman"/>
        </w:rPr>
      </w:pPr>
      <w:r>
        <w:rPr>
          <w:rFonts w:ascii="Times New Roman" w:hAnsi="Times New Roman"/>
        </w:rPr>
        <w:t>Nanoprobes. Nano Lett. 2017 Jul 12;17(7):4096-4100.</w:t>
      </w:r>
    </w:p>
    <w:p>
      <w:pPr>
        <w:spacing w:line="360" w:lineRule="auto"/>
        <w:jc w:val="both"/>
        <w:rPr>
          <w:rFonts w:ascii="Times New Roman" w:hAnsi="Times New Roman"/>
        </w:rPr>
      </w:pPr>
      <w:r>
        <w:rPr>
          <w:rFonts w:ascii="Times New Roman" w:hAnsi="Times New Roman"/>
          <w:bCs/>
        </w:rPr>
        <w:t>[3]</w:t>
      </w:r>
      <w:r>
        <w:rPr>
          <w:rFonts w:ascii="Times New Roman" w:hAnsi="Times New Roman"/>
        </w:rPr>
        <w:t xml:space="preserve"> </w:t>
      </w:r>
      <w:bookmarkEnd w:id="0"/>
      <w:r>
        <w:rPr>
          <w:rFonts w:ascii="Times New Roman" w:hAnsi="Times New Roman"/>
        </w:rPr>
        <w:t>Liu Z, Wang L, Zhou Y, Wang C, Ma Y, Zhao Y, Tian J, Huang H, Wang H, Wang Y,</w:t>
      </w:r>
      <w:r>
        <w:rPr>
          <w:rFonts w:hint="eastAsia" w:ascii="Times New Roman" w:hAnsi="Times New Roman"/>
        </w:rPr>
        <w:t xml:space="preserve"> </w:t>
      </w:r>
      <w:r>
        <w:rPr>
          <w:rFonts w:ascii="Times New Roman" w:hAnsi="Times New Roman"/>
          <w:b/>
          <w:bCs/>
        </w:rPr>
        <w:t>Niu Y</w:t>
      </w:r>
      <w:r>
        <w:rPr>
          <w:rFonts w:ascii="Times New Roman" w:hAnsi="Times New Roman"/>
          <w:b/>
          <w:bCs/>
          <w:vertAlign w:val="superscript"/>
        </w:rPr>
        <w:t>*</w:t>
      </w:r>
      <w:r>
        <w:rPr>
          <w:rFonts w:ascii="Times New Roman" w:hAnsi="Times New Roman"/>
        </w:rPr>
        <w:t>. Application of metastatic biopsy based on "When, Who, Why, Where, How(4W1H)" principle in diagnosis and treatment of metastatic castration-resistance</w:t>
      </w:r>
      <w:r>
        <w:rPr>
          <w:rFonts w:hint="eastAsia" w:ascii="Times New Roman" w:hAnsi="Times New Roman"/>
        </w:rPr>
        <w:t xml:space="preserve"> </w:t>
      </w:r>
      <w:r>
        <w:rPr>
          <w:rFonts w:ascii="Times New Roman" w:hAnsi="Times New Roman"/>
        </w:rPr>
        <w:t xml:space="preserve">prostate cancer. Transl Androl Urol. 2021 Apr;10(4):1723-1733. </w:t>
      </w:r>
    </w:p>
    <w:p>
      <w:pPr>
        <w:spacing w:line="360" w:lineRule="auto"/>
        <w:jc w:val="both"/>
        <w:rPr>
          <w:rFonts w:ascii="Times New Roman" w:hAnsi="Times New Roman"/>
        </w:rPr>
      </w:pPr>
      <w:r>
        <w:rPr>
          <w:rFonts w:ascii="Times New Roman" w:hAnsi="Times New Roman"/>
          <w:bCs/>
        </w:rPr>
        <w:t>[4]</w:t>
      </w:r>
      <w:r>
        <w:rPr>
          <w:rFonts w:hint="eastAsia"/>
        </w:rPr>
        <w:t xml:space="preserve"> </w:t>
      </w:r>
      <w:r>
        <w:rPr>
          <w:rFonts w:hint="eastAsia"/>
          <w:b/>
          <w:bCs/>
        </w:rPr>
        <w:t>牛远杰</w:t>
      </w:r>
      <w:r>
        <w:rPr>
          <w:rFonts w:hint="eastAsia"/>
        </w:rPr>
        <w:t>，</w:t>
      </w:r>
      <w:r>
        <w:rPr>
          <w:rFonts w:hint="eastAsia" w:ascii="Times New Roman" w:hAnsi="Times New Roman"/>
        </w:rPr>
        <w:t>刘冉录，张志宏。</w:t>
      </w:r>
      <w:r>
        <w:t>前列腺穿刺活检</w:t>
      </w:r>
      <w:r>
        <w:rPr>
          <w:rFonts w:hint="eastAsia"/>
        </w:rPr>
        <w:t>术</w:t>
      </w:r>
      <w:r>
        <w:rPr>
          <w:rFonts w:ascii="Times New Roman" w:hAnsi="Times New Roman"/>
        </w:rPr>
        <w:t>, 科学</w:t>
      </w:r>
      <w:r>
        <w:rPr>
          <w:rFonts w:hint="eastAsia" w:ascii="Times New Roman" w:hAnsi="Times New Roman"/>
        </w:rPr>
        <w:t>技术文献</w:t>
      </w:r>
      <w:r>
        <w:rPr>
          <w:rFonts w:ascii="Times New Roman" w:hAnsi="Times New Roman"/>
        </w:rPr>
        <w:t xml:space="preserve">出版社, 289千字, 2021. </w:t>
      </w:r>
    </w:p>
    <w:p>
      <w:pPr>
        <w:spacing w:line="360" w:lineRule="auto"/>
        <w:jc w:val="both"/>
      </w:pPr>
      <w:r>
        <w:rPr>
          <w:rFonts w:ascii="Times New Roman" w:hAnsi="Times New Roman"/>
          <w:bCs/>
        </w:rPr>
        <w:t>[5]</w:t>
      </w:r>
      <w:r>
        <w:t xml:space="preserve"> </w:t>
      </w:r>
      <w:r>
        <w:rPr>
          <w:rFonts w:hint="eastAsia"/>
        </w:rPr>
        <w:t>孙广玉</w:t>
      </w:r>
      <w:r>
        <w:t>,连振鹏,刘冉录.前列腺穿刺活检结果中慢性炎症与活检结果的相关性及其对重复穿刺活检的预测作用[J].中华泌尿外科杂志,2020,41(10):757-763.</w:t>
      </w:r>
    </w:p>
    <w:p>
      <w:pPr>
        <w:spacing w:line="360" w:lineRule="auto"/>
        <w:jc w:val="both"/>
        <w:rPr>
          <w:rFonts w:ascii="Times New Roman" w:hAnsi="Times New Roman"/>
        </w:rPr>
      </w:pPr>
      <w:r>
        <w:rPr>
          <w:rFonts w:ascii="Times New Roman" w:hAnsi="Times New Roman"/>
        </w:rPr>
        <w:t>[6] Zhu S</w:t>
      </w:r>
      <w:r>
        <w:rPr>
          <w:rFonts w:ascii="Times New Roman" w:hAnsi="Times New Roman"/>
          <w:vertAlign w:val="superscript"/>
        </w:rPr>
        <w:t>#</w:t>
      </w:r>
      <w:r>
        <w:rPr>
          <w:rFonts w:ascii="Times New Roman" w:hAnsi="Times New Roman"/>
        </w:rPr>
        <w:t>, Tian H</w:t>
      </w:r>
      <w:r>
        <w:rPr>
          <w:rFonts w:ascii="Times New Roman" w:hAnsi="Times New Roman"/>
          <w:vertAlign w:val="superscript"/>
        </w:rPr>
        <w:t>#</w:t>
      </w:r>
      <w:r>
        <w:rPr>
          <w:rFonts w:ascii="Times New Roman" w:hAnsi="Times New Roman"/>
        </w:rPr>
        <w:t>, Niu X</w:t>
      </w:r>
      <w:r>
        <w:rPr>
          <w:rFonts w:ascii="Times New Roman" w:hAnsi="Times New Roman"/>
          <w:vertAlign w:val="superscript"/>
        </w:rPr>
        <w:t>#</w:t>
      </w:r>
      <w:r>
        <w:rPr>
          <w:rFonts w:ascii="Times New Roman" w:hAnsi="Times New Roman"/>
        </w:rPr>
        <w:t>, Wang J, Li X, Jiang N, Wen S, Chen X, Ren S, Xu C,</w:t>
      </w:r>
    </w:p>
    <w:p>
      <w:pPr>
        <w:spacing w:line="360" w:lineRule="auto"/>
        <w:jc w:val="both"/>
        <w:rPr>
          <w:rFonts w:ascii="Times New Roman" w:hAnsi="Times New Roman"/>
        </w:rPr>
      </w:pPr>
      <w:r>
        <w:rPr>
          <w:rFonts w:ascii="Times New Roman" w:hAnsi="Times New Roman"/>
        </w:rPr>
        <w:t>Chang C, Flores-Morales A, Shang Z</w:t>
      </w:r>
      <w:r>
        <w:rPr>
          <w:rFonts w:ascii="Times New Roman" w:hAnsi="Times New Roman"/>
          <w:vertAlign w:val="superscript"/>
        </w:rPr>
        <w:t>*</w:t>
      </w:r>
      <w:r>
        <w:rPr>
          <w:rFonts w:ascii="Times New Roman" w:hAnsi="Times New Roman"/>
        </w:rPr>
        <w:t>, Sun Y</w:t>
      </w:r>
      <w:r>
        <w:rPr>
          <w:rFonts w:ascii="Times New Roman" w:hAnsi="Times New Roman"/>
          <w:vertAlign w:val="superscript"/>
        </w:rPr>
        <w:t>*</w:t>
      </w:r>
      <w:r>
        <w:rPr>
          <w:rFonts w:ascii="Times New Roman" w:hAnsi="Times New Roman"/>
        </w:rPr>
        <w:t xml:space="preserve">, </w:t>
      </w:r>
      <w:r>
        <w:rPr>
          <w:rFonts w:ascii="Times New Roman" w:hAnsi="Times New Roman"/>
          <w:b/>
          <w:bCs/>
        </w:rPr>
        <w:t>Niu Y</w:t>
      </w:r>
      <w:r>
        <w:rPr>
          <w:rFonts w:ascii="Times New Roman" w:hAnsi="Times New Roman"/>
          <w:b/>
          <w:bCs/>
          <w:vertAlign w:val="superscript"/>
        </w:rPr>
        <w:t>*</w:t>
      </w:r>
      <w:r>
        <w:rPr>
          <w:rFonts w:ascii="Times New Roman" w:hAnsi="Times New Roman"/>
        </w:rPr>
        <w:t xml:space="preserve">. </w:t>
      </w:r>
      <w:bookmarkStart w:id="1" w:name="_Hlk82590015"/>
      <w:r>
        <w:rPr>
          <w:rFonts w:ascii="Times New Roman" w:hAnsi="Times New Roman"/>
        </w:rPr>
        <w:t>Neurotensin and its receptors</w:t>
      </w:r>
    </w:p>
    <w:p>
      <w:pPr>
        <w:spacing w:line="360" w:lineRule="auto"/>
        <w:jc w:val="both"/>
        <w:rPr>
          <w:rFonts w:ascii="Times New Roman" w:hAnsi="Times New Roman"/>
        </w:rPr>
      </w:pPr>
      <w:r>
        <w:rPr>
          <w:rFonts w:ascii="Times New Roman" w:hAnsi="Times New Roman"/>
        </w:rPr>
        <w:t>mediate neuroendocrine transdifferentiation in prostate cancer</w:t>
      </w:r>
      <w:bookmarkEnd w:id="1"/>
      <w:r>
        <w:rPr>
          <w:rFonts w:ascii="Times New Roman" w:hAnsi="Times New Roman"/>
        </w:rPr>
        <w:t>. Oncogene. 2019</w:t>
      </w:r>
    </w:p>
    <w:p>
      <w:pPr>
        <w:spacing w:line="360" w:lineRule="auto"/>
        <w:jc w:val="both"/>
        <w:rPr>
          <w:rFonts w:ascii="Times New Roman" w:hAnsi="Times New Roman"/>
        </w:rPr>
      </w:pPr>
      <w:r>
        <w:rPr>
          <w:rFonts w:ascii="Times New Roman" w:hAnsi="Times New Roman"/>
        </w:rPr>
        <w:t xml:space="preserve">Jun;38(24):4875-4884. </w:t>
      </w:r>
    </w:p>
    <w:p>
      <w:pPr>
        <w:spacing w:line="360" w:lineRule="auto"/>
        <w:jc w:val="both"/>
        <w:rPr>
          <w:rFonts w:ascii="Times New Roman" w:hAnsi="Times New Roman"/>
        </w:rPr>
      </w:pPr>
      <w:r>
        <w:rPr>
          <w:rFonts w:ascii="Times New Roman" w:hAnsi="Times New Roman"/>
        </w:rPr>
        <w:t xml:space="preserve">[7] </w:t>
      </w:r>
      <w:r>
        <w:rPr>
          <w:szCs w:val="21"/>
        </w:rPr>
        <w:t>Shen T</w:t>
      </w:r>
      <w:r>
        <w:rPr>
          <w:szCs w:val="21"/>
          <w:vertAlign w:val="superscript"/>
        </w:rPr>
        <w:t>#</w:t>
      </w:r>
      <w:r>
        <w:rPr>
          <w:szCs w:val="21"/>
        </w:rPr>
        <w:t>; Li Y</w:t>
      </w:r>
      <w:r>
        <w:rPr>
          <w:szCs w:val="21"/>
          <w:vertAlign w:val="superscript"/>
        </w:rPr>
        <w:t>#</w:t>
      </w:r>
      <w:r>
        <w:rPr>
          <w:szCs w:val="21"/>
        </w:rPr>
        <w:t xml:space="preserve">; Zhu S; Yu J; Zhang B; Chen X; Zhang Z; Ma Y; Niu Y; </w:t>
      </w:r>
      <w:r>
        <w:rPr>
          <w:b/>
          <w:bCs/>
          <w:szCs w:val="21"/>
        </w:rPr>
        <w:t>Shang Z</w:t>
      </w:r>
      <w:r>
        <w:rPr>
          <w:b/>
          <w:bCs/>
          <w:szCs w:val="21"/>
          <w:vertAlign w:val="superscript"/>
        </w:rPr>
        <w:t>*</w:t>
      </w:r>
      <w:r>
        <w:rPr>
          <w:b/>
          <w:bCs/>
          <w:szCs w:val="21"/>
        </w:rPr>
        <w:t xml:space="preserve">. </w:t>
      </w:r>
      <w:r>
        <w:rPr>
          <w:rFonts w:ascii="Times New Roman" w:hAnsi="Times New Roman"/>
        </w:rPr>
        <w:t>YAP1 plays a key role of the conversion of normal fibroblasts into cancer-associated fibroblasts that contribute to prostate cancer progression.</w:t>
      </w:r>
      <w:r>
        <w:t xml:space="preserve"> </w:t>
      </w:r>
      <w:r>
        <w:rPr>
          <w:rFonts w:ascii="Times New Roman" w:hAnsi="Times New Roman"/>
        </w:rPr>
        <w:t>J Exp Clin Cancer Res.</w:t>
      </w:r>
      <w:r>
        <w:t xml:space="preserve"> </w:t>
      </w:r>
      <w:r>
        <w:rPr>
          <w:rFonts w:ascii="Times New Roman" w:hAnsi="Times New Roman"/>
        </w:rPr>
        <w:t>2020 Feb 17;39(1):36.</w:t>
      </w:r>
    </w:p>
    <w:p>
      <w:pPr>
        <w:spacing w:line="360" w:lineRule="auto"/>
        <w:jc w:val="both"/>
        <w:rPr>
          <w:rFonts w:ascii="Times New Roman" w:hAnsi="Times New Roman"/>
        </w:rPr>
      </w:pPr>
      <w:r>
        <w:rPr>
          <w:rFonts w:ascii="Times New Roman" w:hAnsi="Times New Roman"/>
        </w:rPr>
        <w:t>[8] Zhang Y, Wang Y, Meng L, Huang Q, Zhu Y, Cui W, Cheng Y,</w:t>
      </w:r>
      <w:r>
        <w:rPr>
          <w:rFonts w:ascii="Times New Roman" w:hAnsi="Times New Roman"/>
          <w:b/>
          <w:bCs/>
        </w:rPr>
        <w:t xml:space="preserve"> Liu R</w:t>
      </w:r>
      <w:r>
        <w:rPr>
          <w:rFonts w:ascii="Times New Roman" w:hAnsi="Times New Roman"/>
          <w:b/>
          <w:bCs/>
          <w:vertAlign w:val="superscript"/>
        </w:rPr>
        <w:t>*</w:t>
      </w:r>
      <w:r>
        <w:rPr>
          <w:rFonts w:ascii="Times New Roman" w:hAnsi="Times New Roman"/>
        </w:rPr>
        <w:t>. Targeted</w:t>
      </w:r>
    </w:p>
    <w:p>
      <w:pPr>
        <w:spacing w:line="360" w:lineRule="auto"/>
        <w:jc w:val="both"/>
        <w:rPr>
          <w:rFonts w:ascii="Times New Roman" w:hAnsi="Times New Roman"/>
        </w:rPr>
      </w:pPr>
      <w:r>
        <w:rPr>
          <w:rFonts w:ascii="Times New Roman" w:hAnsi="Times New Roman"/>
        </w:rPr>
        <w:t>micelles with chemotherapeutics and gene drugs to inhibit the G1/S and G2/M</w:t>
      </w:r>
    </w:p>
    <w:p>
      <w:pPr>
        <w:spacing w:line="360" w:lineRule="auto"/>
        <w:jc w:val="both"/>
        <w:rPr>
          <w:rFonts w:ascii="Times New Roman" w:hAnsi="Times New Roman" w:cs="Times New Roman"/>
        </w:rPr>
      </w:pPr>
      <w:r>
        <w:rPr>
          <w:rFonts w:ascii="Times New Roman" w:hAnsi="Times New Roman"/>
        </w:rPr>
        <w:t>mitotic cycle of prostate cancer. J Nanobiotechnology. 2021 Jan 9;19(1):17.</w:t>
      </w:r>
    </w:p>
    <w:p>
      <w:pPr>
        <w:spacing w:line="360" w:lineRule="auto"/>
        <w:jc w:val="both"/>
        <w:rPr>
          <w:rFonts w:ascii="Times New Roman" w:hAnsi="Times New Roman" w:cs="Times New Roman"/>
        </w:rPr>
      </w:pPr>
      <w:r>
        <w:rPr>
          <w:rFonts w:hint="eastAsia" w:ascii="Times New Roman" w:hAnsi="Times New Roman" w:cs="Times New Roman"/>
        </w:rPr>
        <w:t>授权专利：</w:t>
      </w:r>
    </w:p>
    <w:p>
      <w:pPr>
        <w:pStyle w:val="8"/>
        <w:numPr>
          <w:ilvl w:val="0"/>
          <w:numId w:val="1"/>
        </w:numPr>
        <w:spacing w:line="360" w:lineRule="auto"/>
        <w:ind w:firstLineChars="0"/>
        <w:rPr>
          <w:rFonts w:ascii="Times New Roman" w:hAnsi="Times New Roman" w:cs="Times New Roman"/>
        </w:rPr>
      </w:pPr>
      <w:r>
        <w:rPr>
          <w:rFonts w:hint="eastAsia" w:ascii="Times New Roman" w:hAnsi="Times New Roman" w:cs="Times New Roman"/>
        </w:rPr>
        <w:t>刘冉录，经会阴模板定位前列腺饱和穿刺活检标本盒，专利号：</w:t>
      </w:r>
      <w:r>
        <w:rPr>
          <w:rFonts w:ascii="Times New Roman" w:hAnsi="Times New Roman" w:cs="Times New Roman"/>
        </w:rPr>
        <w:t>ZL201520605273.9</w:t>
      </w:r>
      <w:r>
        <w:rPr>
          <w:rFonts w:hint="eastAsia" w:ascii="Times New Roman" w:hAnsi="Times New Roman" w:cs="Times New Roman"/>
        </w:rPr>
        <w:t>，授权日：2</w:t>
      </w:r>
      <w:r>
        <w:rPr>
          <w:rFonts w:ascii="Times New Roman" w:hAnsi="Times New Roman" w:cs="Times New Roman"/>
        </w:rPr>
        <w:t>016.02.03</w:t>
      </w:r>
    </w:p>
    <w:p>
      <w:pPr>
        <w:pStyle w:val="8"/>
        <w:numPr>
          <w:ilvl w:val="0"/>
          <w:numId w:val="1"/>
        </w:numPr>
        <w:spacing w:line="360" w:lineRule="auto"/>
        <w:ind w:firstLineChars="0"/>
        <w:rPr>
          <w:rFonts w:ascii="Times New Roman" w:hAnsi="Times New Roman" w:cs="Times New Roman"/>
        </w:rPr>
      </w:pPr>
      <w:r>
        <w:rPr>
          <w:rFonts w:hint="eastAsia" w:ascii="Times New Roman" w:hAnsi="Times New Roman" w:cs="Times New Roman"/>
        </w:rPr>
        <w:t>刘冉录，前列腺系统穿刺活检标本盒，专利号：</w:t>
      </w:r>
      <w:r>
        <w:rPr>
          <w:rFonts w:ascii="Times New Roman" w:hAnsi="Times New Roman" w:cs="Times New Roman"/>
        </w:rPr>
        <w:t>ZL201520051466.4</w:t>
      </w:r>
      <w:r>
        <w:rPr>
          <w:rFonts w:hint="eastAsia" w:ascii="Times New Roman" w:hAnsi="Times New Roman" w:cs="Times New Roman"/>
        </w:rPr>
        <w:t>，授权日：2</w:t>
      </w:r>
      <w:r>
        <w:rPr>
          <w:rFonts w:ascii="Times New Roman" w:hAnsi="Times New Roman" w:cs="Times New Roman"/>
        </w:rPr>
        <w:t>015.07.27</w:t>
      </w:r>
    </w:p>
    <w:p>
      <w:pPr>
        <w:pStyle w:val="8"/>
        <w:numPr>
          <w:ilvl w:val="0"/>
          <w:numId w:val="1"/>
        </w:numPr>
        <w:spacing w:line="360" w:lineRule="auto"/>
        <w:ind w:firstLineChars="0"/>
        <w:rPr>
          <w:rFonts w:ascii="Times New Roman" w:hAnsi="Times New Roman" w:cs="Times New Roman"/>
        </w:rPr>
      </w:pPr>
      <w:r>
        <w:rPr>
          <w:rFonts w:hint="eastAsia" w:ascii="Times New Roman" w:hAnsi="Times New Roman" w:cs="Times New Roman"/>
        </w:rPr>
        <w:t>李伟，一种可调节位置的骶神经刺激电极，</w:t>
      </w:r>
      <w:r>
        <w:rPr>
          <w:rFonts w:ascii="Times New Roman" w:hAnsi="Times New Roman" w:cs="Times New Roman"/>
        </w:rPr>
        <w:t>专利号：202022385890.6</w:t>
      </w:r>
      <w:r>
        <w:rPr>
          <w:rFonts w:hint="eastAsia" w:ascii="Times New Roman" w:hAnsi="Times New Roman" w:cs="Times New Roman"/>
        </w:rPr>
        <w:t>，授权日：2</w:t>
      </w:r>
      <w:r>
        <w:rPr>
          <w:rFonts w:ascii="Times New Roman" w:hAnsi="Times New Roman" w:cs="Times New Roman"/>
        </w:rPr>
        <w:t>021.07.30</w:t>
      </w:r>
    </w:p>
    <w:p>
      <w:pPr>
        <w:pStyle w:val="8"/>
        <w:numPr>
          <w:ilvl w:val="0"/>
          <w:numId w:val="1"/>
        </w:numPr>
        <w:spacing w:line="360" w:lineRule="auto"/>
        <w:ind w:firstLineChars="0"/>
        <w:rPr>
          <w:rFonts w:ascii="Times New Roman" w:hAnsi="Times New Roman" w:cs="Times New Roman"/>
        </w:rPr>
      </w:pPr>
      <w:r>
        <w:rPr>
          <w:rFonts w:hint="eastAsia" w:ascii="Times New Roman" w:hAnsi="Times New Roman" w:cs="Times New Roman"/>
        </w:rPr>
        <w:t>李伟，一种用于骶神经调控术的穿刺架，</w:t>
      </w:r>
      <w:r>
        <w:rPr>
          <w:rFonts w:ascii="Times New Roman" w:hAnsi="Times New Roman" w:cs="Times New Roman"/>
        </w:rPr>
        <w:t>专利号：202022202670.5</w:t>
      </w:r>
      <w:r>
        <w:rPr>
          <w:rFonts w:hint="eastAsia" w:ascii="Times New Roman" w:hAnsi="Times New Roman" w:cs="Times New Roman"/>
        </w:rPr>
        <w:t>，授权日：2</w:t>
      </w:r>
      <w:r>
        <w:rPr>
          <w:rFonts w:ascii="Times New Roman" w:hAnsi="Times New Roman" w:cs="Times New Roman"/>
        </w:rPr>
        <w:t>021.07.06</w:t>
      </w:r>
    </w:p>
    <w:p>
      <w:pPr>
        <w:pStyle w:val="8"/>
        <w:numPr>
          <w:ilvl w:val="0"/>
          <w:numId w:val="1"/>
        </w:numPr>
        <w:spacing w:line="360" w:lineRule="auto"/>
        <w:ind w:firstLineChars="0"/>
        <w:rPr>
          <w:rFonts w:ascii="Times New Roman" w:hAnsi="Times New Roman" w:cs="Times New Roman"/>
        </w:rPr>
      </w:pPr>
      <w:r>
        <w:rPr>
          <w:rFonts w:hint="eastAsia" w:ascii="Times New Roman" w:hAnsi="Times New Roman" w:cs="Times New Roman"/>
        </w:rPr>
        <w:t>李伟，一种用于男性尿失禁的止尿器，专利号：</w:t>
      </w:r>
      <w:r>
        <w:rPr>
          <w:rFonts w:ascii="Times New Roman" w:hAnsi="Times New Roman" w:cs="Times New Roman"/>
        </w:rPr>
        <w:t>201921151167.2</w:t>
      </w:r>
      <w:r>
        <w:rPr>
          <w:rFonts w:hint="eastAsia" w:ascii="Times New Roman" w:hAnsi="Times New Roman" w:cs="Times New Roman"/>
        </w:rPr>
        <w:t>，授权日：2</w:t>
      </w:r>
      <w:r>
        <w:rPr>
          <w:rFonts w:ascii="Times New Roman" w:hAnsi="Times New Roman" w:cs="Times New Roman"/>
        </w:rPr>
        <w:t>020.06.09</w:t>
      </w:r>
    </w:p>
    <w:p>
      <w:pPr>
        <w:pStyle w:val="8"/>
        <w:numPr>
          <w:ilvl w:val="0"/>
          <w:numId w:val="1"/>
        </w:numPr>
        <w:spacing w:line="360" w:lineRule="auto"/>
        <w:ind w:firstLineChars="0"/>
        <w:rPr>
          <w:rFonts w:ascii="Times New Roman" w:hAnsi="Times New Roman" w:cs="Times New Roman"/>
        </w:rPr>
      </w:pPr>
      <w:r>
        <w:rPr>
          <w:rFonts w:hint="eastAsia" w:ascii="Times New Roman" w:hAnsi="Times New Roman" w:cs="Times New Roman"/>
        </w:rPr>
        <w:t>李伟，一种智能尿量监测尿垫，专利号：</w:t>
      </w:r>
      <w:r>
        <w:rPr>
          <w:rFonts w:ascii="Times New Roman" w:hAnsi="Times New Roman" w:cs="Times New Roman"/>
        </w:rPr>
        <w:t>202022202701.7</w:t>
      </w:r>
      <w:r>
        <w:rPr>
          <w:rFonts w:hint="eastAsia" w:ascii="Times New Roman" w:hAnsi="Times New Roman" w:cs="Times New Roman"/>
        </w:rPr>
        <w:t>，授权日：2</w:t>
      </w:r>
      <w:r>
        <w:rPr>
          <w:rFonts w:ascii="Times New Roman" w:hAnsi="Times New Roman" w:cs="Times New Roman"/>
        </w:rPr>
        <w:t>021.06.22</w:t>
      </w:r>
    </w:p>
    <w:p>
      <w:pPr>
        <w:pStyle w:val="8"/>
        <w:numPr>
          <w:ilvl w:val="0"/>
          <w:numId w:val="1"/>
        </w:numPr>
        <w:ind w:firstLineChars="0"/>
        <w:rPr>
          <w:rFonts w:ascii="Times New Roman" w:hAnsi="Times New Roman" w:cs="Times New Roman"/>
        </w:rPr>
      </w:pPr>
      <w:r>
        <w:rPr>
          <w:rFonts w:hint="eastAsia" w:ascii="Times New Roman" w:hAnsi="Times New Roman" w:cs="Times New Roman"/>
        </w:rPr>
        <w:t>杨阔， 用于检测去势抵抗性前列腺癌的</w:t>
      </w:r>
      <w:r>
        <w:rPr>
          <w:rFonts w:ascii="Times New Roman" w:hAnsi="Times New Roman" w:cs="Times New Roman"/>
        </w:rPr>
        <w:t>ELISA试剂盒及使用方法</w:t>
      </w:r>
      <w:r>
        <w:rPr>
          <w:rFonts w:hint="eastAsia" w:ascii="Times New Roman" w:hAnsi="Times New Roman" w:cs="Times New Roman"/>
        </w:rPr>
        <w:t>，专利号：</w:t>
      </w:r>
      <w:r>
        <w:rPr>
          <w:rFonts w:ascii="Times New Roman" w:hAnsi="Times New Roman" w:cs="Times New Roman"/>
        </w:rPr>
        <w:t>ZL.2016 10770861.7，授权日：2018.03.27</w:t>
      </w:r>
    </w:p>
    <w:p>
      <w:pPr>
        <w:pStyle w:val="8"/>
        <w:numPr>
          <w:ilvl w:val="0"/>
          <w:numId w:val="1"/>
        </w:numPr>
        <w:ind w:firstLineChars="0"/>
        <w:rPr>
          <w:rFonts w:ascii="Times New Roman" w:hAnsi="Times New Roman" w:cs="Times New Roman"/>
        </w:rPr>
      </w:pPr>
      <w:r>
        <w:rPr>
          <w:rFonts w:hint="eastAsia" w:ascii="Times New Roman" w:hAnsi="Times New Roman" w:cs="Times New Roman"/>
        </w:rPr>
        <w:t>杜娥，用于检测去势抵抗性前列腺癌的</w:t>
      </w:r>
      <w:r>
        <w:rPr>
          <w:rFonts w:ascii="Times New Roman" w:hAnsi="Times New Roman" w:cs="Times New Roman"/>
        </w:rPr>
        <w:t>ELISA试剂盒及使用方法</w:t>
      </w:r>
      <w:r>
        <w:rPr>
          <w:rFonts w:hint="eastAsia" w:ascii="Times New Roman" w:hAnsi="Times New Roman" w:cs="Times New Roman"/>
        </w:rPr>
        <w:t>，专利号：</w:t>
      </w:r>
      <w:r>
        <w:rPr>
          <w:rFonts w:ascii="Times New Roman" w:hAnsi="Times New Roman" w:cs="Times New Roman"/>
        </w:rPr>
        <w:t>ZL.2016 10770859.X，授权日：2018.03.27</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STSongStd-Light-UniGB-UCS2-H">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84D5F"/>
    <w:multiLevelType w:val="multilevel"/>
    <w:tmpl w:val="04A84D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6F"/>
    <w:rsid w:val="00021A67"/>
    <w:rsid w:val="00065FBC"/>
    <w:rsid w:val="000672A3"/>
    <w:rsid w:val="00067C65"/>
    <w:rsid w:val="00072D14"/>
    <w:rsid w:val="000A0667"/>
    <w:rsid w:val="000A3ED5"/>
    <w:rsid w:val="000A79BF"/>
    <w:rsid w:val="000B17A3"/>
    <w:rsid w:val="000D1A5B"/>
    <w:rsid w:val="000E4A65"/>
    <w:rsid w:val="0012211E"/>
    <w:rsid w:val="00123B34"/>
    <w:rsid w:val="00132149"/>
    <w:rsid w:val="00132934"/>
    <w:rsid w:val="00140B50"/>
    <w:rsid w:val="001555E8"/>
    <w:rsid w:val="001567FD"/>
    <w:rsid w:val="00156C14"/>
    <w:rsid w:val="00193B64"/>
    <w:rsid w:val="001A331D"/>
    <w:rsid w:val="001A4BB7"/>
    <w:rsid w:val="001C0375"/>
    <w:rsid w:val="001C0F57"/>
    <w:rsid w:val="001D09B8"/>
    <w:rsid w:val="001E34DF"/>
    <w:rsid w:val="00211A9C"/>
    <w:rsid w:val="00250BED"/>
    <w:rsid w:val="002544B9"/>
    <w:rsid w:val="002576C6"/>
    <w:rsid w:val="0026692A"/>
    <w:rsid w:val="00267FDA"/>
    <w:rsid w:val="00271110"/>
    <w:rsid w:val="00274945"/>
    <w:rsid w:val="0028171F"/>
    <w:rsid w:val="00283394"/>
    <w:rsid w:val="002C1871"/>
    <w:rsid w:val="002D379B"/>
    <w:rsid w:val="002D440C"/>
    <w:rsid w:val="002F3286"/>
    <w:rsid w:val="003007E6"/>
    <w:rsid w:val="00307FDE"/>
    <w:rsid w:val="0031057A"/>
    <w:rsid w:val="00312735"/>
    <w:rsid w:val="00312789"/>
    <w:rsid w:val="0031485A"/>
    <w:rsid w:val="0033359A"/>
    <w:rsid w:val="00335B8D"/>
    <w:rsid w:val="00370A13"/>
    <w:rsid w:val="00381A96"/>
    <w:rsid w:val="00385295"/>
    <w:rsid w:val="00396493"/>
    <w:rsid w:val="003A5E23"/>
    <w:rsid w:val="003D146F"/>
    <w:rsid w:val="003F1E91"/>
    <w:rsid w:val="003F6FF2"/>
    <w:rsid w:val="004307E7"/>
    <w:rsid w:val="00450C8C"/>
    <w:rsid w:val="00461254"/>
    <w:rsid w:val="00484AF7"/>
    <w:rsid w:val="00491C0E"/>
    <w:rsid w:val="004B11DD"/>
    <w:rsid w:val="004C1CC1"/>
    <w:rsid w:val="004C25A1"/>
    <w:rsid w:val="004D6063"/>
    <w:rsid w:val="005023EA"/>
    <w:rsid w:val="00504AAA"/>
    <w:rsid w:val="00516E09"/>
    <w:rsid w:val="00530D2D"/>
    <w:rsid w:val="00540AC5"/>
    <w:rsid w:val="005432C0"/>
    <w:rsid w:val="005436E3"/>
    <w:rsid w:val="00543A60"/>
    <w:rsid w:val="00550622"/>
    <w:rsid w:val="00553BF5"/>
    <w:rsid w:val="005656B5"/>
    <w:rsid w:val="005666D1"/>
    <w:rsid w:val="00575E17"/>
    <w:rsid w:val="005A3E58"/>
    <w:rsid w:val="005A78F0"/>
    <w:rsid w:val="005C4B80"/>
    <w:rsid w:val="005D4A9E"/>
    <w:rsid w:val="005E1D64"/>
    <w:rsid w:val="005F41B0"/>
    <w:rsid w:val="00611B51"/>
    <w:rsid w:val="006171A7"/>
    <w:rsid w:val="00623C60"/>
    <w:rsid w:val="0062471D"/>
    <w:rsid w:val="006366D9"/>
    <w:rsid w:val="0063770A"/>
    <w:rsid w:val="0063774C"/>
    <w:rsid w:val="006436F7"/>
    <w:rsid w:val="0065113C"/>
    <w:rsid w:val="006654CF"/>
    <w:rsid w:val="00681CFE"/>
    <w:rsid w:val="006918E9"/>
    <w:rsid w:val="006B11F3"/>
    <w:rsid w:val="006C2415"/>
    <w:rsid w:val="006C4C99"/>
    <w:rsid w:val="006C6ADB"/>
    <w:rsid w:val="006D3FE9"/>
    <w:rsid w:val="006E57F6"/>
    <w:rsid w:val="006F4EDF"/>
    <w:rsid w:val="00715621"/>
    <w:rsid w:val="00731347"/>
    <w:rsid w:val="00734058"/>
    <w:rsid w:val="00737646"/>
    <w:rsid w:val="00750F2B"/>
    <w:rsid w:val="00762E73"/>
    <w:rsid w:val="007655B5"/>
    <w:rsid w:val="007668CA"/>
    <w:rsid w:val="00781560"/>
    <w:rsid w:val="007A3BBF"/>
    <w:rsid w:val="007A4748"/>
    <w:rsid w:val="007B74BF"/>
    <w:rsid w:val="007C30AD"/>
    <w:rsid w:val="007C3948"/>
    <w:rsid w:val="007F6AE2"/>
    <w:rsid w:val="007F74E1"/>
    <w:rsid w:val="00817FB1"/>
    <w:rsid w:val="0083525F"/>
    <w:rsid w:val="0084652D"/>
    <w:rsid w:val="00850933"/>
    <w:rsid w:val="008706D3"/>
    <w:rsid w:val="00870CA2"/>
    <w:rsid w:val="00872B84"/>
    <w:rsid w:val="0089106D"/>
    <w:rsid w:val="00893C08"/>
    <w:rsid w:val="0089534D"/>
    <w:rsid w:val="008D5E73"/>
    <w:rsid w:val="008F0AA8"/>
    <w:rsid w:val="008F7434"/>
    <w:rsid w:val="00901546"/>
    <w:rsid w:val="009304C1"/>
    <w:rsid w:val="00942513"/>
    <w:rsid w:val="0094416B"/>
    <w:rsid w:val="00960BA6"/>
    <w:rsid w:val="00964A41"/>
    <w:rsid w:val="00967561"/>
    <w:rsid w:val="00971741"/>
    <w:rsid w:val="00972500"/>
    <w:rsid w:val="00980200"/>
    <w:rsid w:val="009825A9"/>
    <w:rsid w:val="00993183"/>
    <w:rsid w:val="00997A34"/>
    <w:rsid w:val="009B11D6"/>
    <w:rsid w:val="009B1935"/>
    <w:rsid w:val="009B6D1D"/>
    <w:rsid w:val="009C2C55"/>
    <w:rsid w:val="009C415A"/>
    <w:rsid w:val="009D33BA"/>
    <w:rsid w:val="00A01D99"/>
    <w:rsid w:val="00A13D9C"/>
    <w:rsid w:val="00A20882"/>
    <w:rsid w:val="00A411E2"/>
    <w:rsid w:val="00A4516E"/>
    <w:rsid w:val="00A57372"/>
    <w:rsid w:val="00A63FDA"/>
    <w:rsid w:val="00A656C8"/>
    <w:rsid w:val="00A8330E"/>
    <w:rsid w:val="00A9043F"/>
    <w:rsid w:val="00A929F1"/>
    <w:rsid w:val="00AC38E2"/>
    <w:rsid w:val="00AE2874"/>
    <w:rsid w:val="00AE2A3B"/>
    <w:rsid w:val="00AF2834"/>
    <w:rsid w:val="00AF6306"/>
    <w:rsid w:val="00B44502"/>
    <w:rsid w:val="00B5639F"/>
    <w:rsid w:val="00B64654"/>
    <w:rsid w:val="00B72851"/>
    <w:rsid w:val="00B84B54"/>
    <w:rsid w:val="00B9054D"/>
    <w:rsid w:val="00BB3D86"/>
    <w:rsid w:val="00BB68FA"/>
    <w:rsid w:val="00BD3366"/>
    <w:rsid w:val="00BE1670"/>
    <w:rsid w:val="00BE484C"/>
    <w:rsid w:val="00BF3C83"/>
    <w:rsid w:val="00BF5599"/>
    <w:rsid w:val="00BF61B3"/>
    <w:rsid w:val="00C200B2"/>
    <w:rsid w:val="00C36121"/>
    <w:rsid w:val="00C37601"/>
    <w:rsid w:val="00C55452"/>
    <w:rsid w:val="00C65847"/>
    <w:rsid w:val="00C72650"/>
    <w:rsid w:val="00CA3DA8"/>
    <w:rsid w:val="00CB6A9F"/>
    <w:rsid w:val="00CC2D31"/>
    <w:rsid w:val="00CE108E"/>
    <w:rsid w:val="00CE49EE"/>
    <w:rsid w:val="00CE5D1C"/>
    <w:rsid w:val="00CF416C"/>
    <w:rsid w:val="00CF6118"/>
    <w:rsid w:val="00D354F1"/>
    <w:rsid w:val="00D414D3"/>
    <w:rsid w:val="00D52CFA"/>
    <w:rsid w:val="00D65B8A"/>
    <w:rsid w:val="00D749FB"/>
    <w:rsid w:val="00D9218F"/>
    <w:rsid w:val="00DB50B0"/>
    <w:rsid w:val="00DC66B2"/>
    <w:rsid w:val="00DD4A98"/>
    <w:rsid w:val="00E010F2"/>
    <w:rsid w:val="00E1585D"/>
    <w:rsid w:val="00E15DAB"/>
    <w:rsid w:val="00E31A88"/>
    <w:rsid w:val="00E71697"/>
    <w:rsid w:val="00E72D6F"/>
    <w:rsid w:val="00E763B7"/>
    <w:rsid w:val="00EA2639"/>
    <w:rsid w:val="00EA6F6E"/>
    <w:rsid w:val="00EC0181"/>
    <w:rsid w:val="00EC265F"/>
    <w:rsid w:val="00EE27FA"/>
    <w:rsid w:val="00EE38A6"/>
    <w:rsid w:val="00EF0892"/>
    <w:rsid w:val="00F25C4F"/>
    <w:rsid w:val="00F508BC"/>
    <w:rsid w:val="00F51B03"/>
    <w:rsid w:val="00F54AED"/>
    <w:rsid w:val="00F57B55"/>
    <w:rsid w:val="00F614D0"/>
    <w:rsid w:val="00F64823"/>
    <w:rsid w:val="00F750AB"/>
    <w:rsid w:val="00FB7EDB"/>
    <w:rsid w:val="00FD5459"/>
    <w:rsid w:val="00FE161E"/>
    <w:rsid w:val="00FF44EC"/>
    <w:rsid w:val="2A631EB1"/>
    <w:rsid w:val="34D53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style>
  <w:style w:type="paragraph" w:styleId="8">
    <w:name w:val="List Paragraph"/>
    <w:basedOn w:val="1"/>
    <w:qFormat/>
    <w:uiPriority w:val="34"/>
    <w:pPr>
      <w:widowControl w:val="0"/>
      <w:ind w:firstLine="420" w:firstLineChars="200"/>
      <w:jc w:val="both"/>
    </w:pPr>
    <w:rPr>
      <w:rFonts w:asciiTheme="minorHAnsi" w:hAnsiTheme="minorHAnsi" w:eastAsiaTheme="minorEastAsia" w:cstheme="minorBidi"/>
      <w:kern w:val="2"/>
      <w:sz w:val="21"/>
    </w:rPr>
  </w:style>
  <w:style w:type="character" w:customStyle="1" w:styleId="9">
    <w:name w:val="页眉 字符"/>
    <w:basedOn w:val="7"/>
    <w:link w:val="4"/>
    <w:qFormat/>
    <w:uiPriority w:val="99"/>
    <w:rPr>
      <w:rFonts w:ascii="宋体" w:hAnsi="宋体" w:cs="宋体"/>
      <w:sz w:val="18"/>
      <w:szCs w:val="18"/>
    </w:rPr>
  </w:style>
  <w:style w:type="character" w:customStyle="1" w:styleId="10">
    <w:name w:val="页脚 字符"/>
    <w:basedOn w:val="7"/>
    <w:link w:val="3"/>
    <w:qFormat/>
    <w:uiPriority w:val="99"/>
    <w:rPr>
      <w:rFonts w:ascii="宋体" w:hAnsi="宋体" w:cs="宋体"/>
      <w:sz w:val="18"/>
      <w:szCs w:val="18"/>
    </w:rPr>
  </w:style>
  <w:style w:type="character" w:customStyle="1" w:styleId="11">
    <w:name w:val="批注框文本 字符"/>
    <w:basedOn w:val="7"/>
    <w:link w:val="2"/>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484</Words>
  <Characters>2762</Characters>
  <Lines>23</Lines>
  <Paragraphs>6</Paragraphs>
  <TotalTime>383</TotalTime>
  <ScaleCrop>false</ScaleCrop>
  <LinksUpToDate>false</LinksUpToDate>
  <CharactersWithSpaces>3240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2021-09-15T03:09:00Z</dcterms:created>
  <dc:creator>春蕊 杨</dc:creator>
  <cp:lastModifiedBy>萧遥</cp:lastModifiedBy>
  <cp:lastPrinted>2021-09-14T22:55:00Z</cp:lastPrinted>
  <dcterms:modified xsi:type="dcterms:W3CDTF">2021-09-16T03:06:19Z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903019EFCAC94D51B617C108DBD37034</vt:lpwstr>
  </property>
</Properties>
</file>