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天津市科学技术进步奖公示</w:t>
      </w:r>
    </w:p>
    <w:p>
      <w:pPr>
        <w:widowControl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一、项目名称</w:t>
      </w:r>
    </w:p>
    <w:p>
      <w:pPr>
        <w:widowControl/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中药安全性和风险评估基础与应用示范研究</w:t>
      </w:r>
    </w:p>
    <w:p>
      <w:pPr>
        <w:widowControl/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二、提名奖项和等级</w:t>
      </w:r>
    </w:p>
    <w:p>
      <w:pPr>
        <w:widowControl/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天津市科学技术进步奖二等奖</w:t>
      </w:r>
    </w:p>
    <w:p>
      <w:pPr>
        <w:widowControl/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三、主要完成单位</w:t>
      </w:r>
    </w:p>
    <w:p>
      <w:pPr>
        <w:widowControl/>
        <w:spacing w:line="360" w:lineRule="auto"/>
        <w:ind w:firstLine="480" w:firstLineChars="200"/>
        <w:rPr>
          <w:rFonts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天津中医药大学、天津达仁堂京万红药业有限公司、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津药达仁堂集团股份有限公司中药研究院</w:t>
      </w:r>
      <w:r>
        <w:rPr>
          <w:rFonts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、天津医科大学第二医院、</w:t>
      </w:r>
      <w:r>
        <w:rPr>
          <w:rFonts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津药达仁堂集团股份有限公司乐仁堂制药厂</w:t>
      </w:r>
    </w:p>
    <w:p>
      <w:pPr>
        <w:widowControl/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四、主要完成人</w:t>
      </w:r>
    </w:p>
    <w:p>
      <w:pPr>
        <w:widowControl/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李遇伯、王磊、王玉丽、宁莉、王琳、许妍妍、卜睿臻、陈思宇</w:t>
      </w:r>
      <w:bookmarkStart w:id="0" w:name="_GoBack"/>
      <w:bookmarkEnd w:id="0"/>
    </w:p>
    <w:p>
      <w:pPr>
        <w:widowControl/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五、提名者</w:t>
      </w:r>
    </w:p>
    <w:p>
      <w:pPr>
        <w:widowControl/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天津中医药大学</w:t>
      </w:r>
    </w:p>
    <w:p>
      <w:pPr>
        <w:widowControl/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六、项目简介</w:t>
      </w:r>
    </w:p>
    <w:p>
      <w:pPr>
        <w:spacing w:before="120"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中药安全性已成为国内外关注的热点问题。本项目创建了“评毒-识毒-控毒-用毒”的中药安全性评价及风险评估研究体系。借助国际毒理学的先进理念，率先在国内开展中药毒性生物标志物发现、有害结局路径、危害评估及控制措施研究，一定程度突破了中药毒性难以客观评价、精准呈现及实际转化的瓶颈问题，创建并发展国际认可的“毒理语言”。发表该领域系列学术成果，国内外发表学术论文86篇，其中SCI论文59篇。荣获国家首届“青年岐黄学者”人才称号。获得省部级科技进步奖2项。主要研究内容如下：</w:t>
      </w:r>
    </w:p>
    <w:p>
      <w:pPr>
        <w:spacing w:before="120"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1. 建立了创新的代谢组学分离分析及应用技术，寻找到靶器官毒性整体早期评价生物标志物，开发出毒性早期预测软件（评毒）。</w:t>
      </w:r>
    </w:p>
    <w:p>
      <w:pPr>
        <w:spacing w:before="120"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建立了多种靶向代谢组学及脂质组学分析方法，为目标代谢物的精准定量及代谢流分析提供方法；建立了代谢组学生物标志物预测模型，使代谢组学应用转化成为可能。构建了一套基于代谢组学的“毒性整体早期评价筛选-优化及验证-应用”评价方法。寻找到靶器官毒性整体早期评价生物标志物，自主开发了毒性早期预测软件，为毒性早期评价生物标志物提供了可转化应用的快捷途径，MaTox Pre毒性预测软件被20多所高校及科研单位用于中药、以及包括胃肠安丸和痹祺胶囊在内的药物安全性评价。</w:t>
      </w:r>
    </w:p>
    <w:p>
      <w:pPr>
        <w:spacing w:before="120"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2. 构建了基于有害结局路径的有毒中药毒性进程动态机制的研究方法；开发了国内外首个中药系统毒理学数据库，基本摸清有毒中药的家底（识毒）。</w:t>
      </w:r>
    </w:p>
    <w:p>
      <w:pPr>
        <w:spacing w:before="120"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采用毒效团、QSAR及深度学习等计算毒理学的虚拟筛选技术，快速、高效的锁定中药毒性成分；采用DARTS、SPR等手段开展分子起始事件研究。开发了国内外首个中药系统毒理学数据库，收纳确有毒性中药252种，中药制剂20种，为从事中药研发、监管及使用人员提供可快速获取且综合分析的渠道。</w:t>
      </w:r>
    </w:p>
    <w:p>
      <w:pPr>
        <w:spacing w:before="120"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3. 建立了基于模型的有毒中药危害评估方法，获取2类内源性危害物和2类外源性危害物的评估数据（控毒）。</w:t>
      </w:r>
    </w:p>
    <w:p>
      <w:pPr>
        <w:spacing w:before="120"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利用基准剂量法，由整合PBTK模型反向推测求得动物每日最大服药量，开展北豆根和《中国药典》未进行限量标准的外源性危害物的危害评估研究。开展天津中新药业有限公司主打品种胃肠安丸和痹祺胶囊的PBPK研究，并制定了企业内控标准。</w:t>
      </w:r>
    </w:p>
    <w:p>
      <w:pPr>
        <w:spacing w:before="120"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4. 开展“用毒须防，毒药新用”研究，明确有毒中药“如何防、怎么用”（用毒）。</w:t>
      </w:r>
    </w:p>
    <w:p>
      <w:pPr>
        <w:widowControl/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在“评毒-识毒-控毒”的基础上，遵从中医药基础理论，开展有毒中药配伍减毒和科学用毒研究。开展基于临床功能代谢组学的转化应用研究，以达到“科学用毒”的目的。开展中药大品种二次开发的研究，扩大胃肠安丸及痹祺胶囊的临床适应症。</w:t>
      </w:r>
    </w:p>
    <w:p>
      <w:pPr>
        <w:widowControl/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七、发现点/发明点/创新点</w:t>
      </w:r>
    </w:p>
    <w:p>
      <w:pPr>
        <w:widowControl/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研究模式的创新：建立“有毒”中药多元整合证据评价与预测方法，经“临床发现问题-基础阐释问题-临床解决问题”转化研究，系统回答有毒中药合理应用的“量化”问题，实现有毒中药在不同人群的个体化精准用药。</w:t>
      </w:r>
    </w:p>
    <w:p>
      <w:pPr>
        <w:widowControl/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研究方法和手段的创新：借鉴但不拘泥于传统方法，以解决问题为导向，创新性地开发了7项关键技术，涉及23套研究方法，并制定相应的研究SOP，开展了6大类中药的定性和定量毒理研究。</w:t>
      </w:r>
    </w:p>
    <w:p>
      <w:pPr>
        <w:widowControl/>
        <w:spacing w:line="360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 研究成果的创新：针对“评-识-控-用”的不同环节，产生四方面的标志性成果。构建了毒性整体早期评价技术体系，开发的毒性早期预测软件已被用于20多所高校及科研单位；开发了国内外首个中药系统毒理学数据库，基本摸清有毒中药的家底，示范性地构建了7类代表性有毒中药的AOP框架；完成了《中国药典》未规定上限标准的2类内源性危害物和2类外源性危害物的评估；新发现并验证了一批配伍减毒药物组合，充实了中药配伍理论，探索了有毒中药的临床新用途。进一步建立并完善质量控制标准，以实现中药大品种二次开发，扩大药物适应症。</w:t>
      </w:r>
    </w:p>
    <w:p>
      <w:pPr>
        <w:widowControl/>
        <w:spacing w:line="360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八、主要技术支撑材料</w:t>
      </w:r>
    </w:p>
    <w:tbl>
      <w:tblPr>
        <w:tblStyle w:val="6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980"/>
        <w:gridCol w:w="831"/>
        <w:gridCol w:w="1153"/>
        <w:gridCol w:w="992"/>
        <w:gridCol w:w="709"/>
        <w:gridCol w:w="984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附件编号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论文（专著）名称/刊名/作者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影响因子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年卷页码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他引次数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检索数据库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署名是否含国外单位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10" w:lineRule="exact"/>
              <w:ind w:left="18" w:right="3"/>
              <w:jc w:val="center"/>
              <w:rPr>
                <w:sz w:val="21"/>
              </w:rPr>
            </w:pPr>
            <w:r>
              <w:rPr>
                <w:sz w:val="21"/>
              </w:rPr>
              <w:t>Liquiritinapioside-A mineraloco</w:t>
            </w:r>
          </w:p>
          <w:p>
            <w:pPr>
              <w:pStyle w:val="11"/>
              <w:spacing w:before="32" w:line="252" w:lineRule="exact"/>
              <w:ind w:left="66" w:right="6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rticoid-like substance from liqu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orice/Food Chem/Simiao Fan, Kun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Gu, Yuanyuan Wu, Houmin Luo, Yum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ing Wang, Tianpu Zhang, Xing Wan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g, Yanjun Zhang, Yubo Li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"/>
              <w:jc w:val="left"/>
              <w:rPr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right="37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9.231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2"/>
              <w:jc w:val="left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263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2019, 289: 419-</w:t>
            </w:r>
          </w:p>
          <w:p>
            <w:pPr>
              <w:pStyle w:val="11"/>
              <w:spacing w:line="263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"/>
              <w:jc w:val="left"/>
              <w:rPr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2019-08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"/>
              <w:jc w:val="left"/>
              <w:rPr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6"/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252" w:lineRule="exact"/>
              <w:ind w:right="32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Web of Science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10"/>
              <w:jc w:val="left"/>
              <w:rPr>
                <w:b/>
                <w:bCs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right="295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31" w:lineRule="exact"/>
              <w:ind w:left="18" w:right="3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Functional metabolome profling may improve individual outcomes i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colorectal cancer management i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mplementing concepts of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predicti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ve, preventive, and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personalized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medical approach/EPMA J/Yu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Yuan,Chenxin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Yang,Yingzhi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Wang,Ming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ing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Sun,Chenghao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Bi,Sitong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Sun,Guijiang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Sun,Jingpeng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Hao,Lingli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ng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Li,Changliang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Shan,Shuai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Zha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ng, Yubo Li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ind w:right="37"/>
              <w:jc w:val="center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8.836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2022,13(1):39-55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2022-01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jc w:val="center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52" w:lineRule="exact"/>
              <w:ind w:right="32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Web of Science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ind w:right="295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31" w:lineRule="exact"/>
              <w:ind w:left="18" w:right="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Study on endocrine disruption effect of paclobutrazol and unicon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azole on the thyroid of male and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female rats based on lipidomics/Ecotoxicol Environ Saf/Hui Liu, Yanyan Xu, Yuming Wang, Chunya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ng Liu, Jun Chen, Simiao Fan, Li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juan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Xie,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Yaqian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Dong,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Siyu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Chen, Wenjie Zhou, Yubo Li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ind w:right="37"/>
              <w:jc w:val="center"/>
              <w:rPr>
                <w:sz w:val="21"/>
              </w:rPr>
            </w:pPr>
            <w:r>
              <w:rPr>
                <w:sz w:val="21"/>
              </w:rPr>
              <w:t>7.129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ind w:right="37"/>
              <w:jc w:val="center"/>
              <w:rPr>
                <w:sz w:val="21"/>
              </w:rPr>
            </w:pPr>
            <w:r>
              <w:rPr>
                <w:sz w:val="21"/>
              </w:rPr>
              <w:t>2022,234:113386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ind w:right="37"/>
              <w:jc w:val="center"/>
              <w:rPr>
                <w:sz w:val="21"/>
              </w:rPr>
            </w:pPr>
            <w:r>
              <w:rPr>
                <w:sz w:val="21"/>
              </w:rPr>
              <w:t>2022-03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0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8" w:line="252" w:lineRule="exact"/>
              <w:ind w:right="32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Web of Science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00"/>
              <w:ind w:right="295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31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Study on Hepatotoxicity of Rhubarb Based on Metabolomics and Network Pharmacology/Drug Des DevelTher/Shanze Li, Yuming Wang, Ch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unyan Li, Na Yang, Hongxin Yu, W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enjie Zhou, Siyu Chen, Shenshen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Yang, Yubo Li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22"/>
              <w:ind w:right="3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4.319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22"/>
              <w:ind w:left="35" w:leftChars="0" w:right="19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2021,15:1883-1902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22"/>
              <w:ind w:right="117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2021-05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52" w:lineRule="exact"/>
              <w:ind w:right="32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Web of Science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right="295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18" w:right="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Rapid classification and identification of chemical constituents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in Epimedium koreanum Nakai by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UPLC-Q-TOF-MS combined with data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post-processing techniques/Phyt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ochem Anal/Ning Li,Lijuan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Xie,Na Yang,Guijiang Sun,Hui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Liu,Chenghao Bi,Jingyi Duan,Yu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Yuan,Hongxin Yu,Yanyan Xu,Yubo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Li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both"/>
              <w:rPr>
                <w:sz w:val="20"/>
              </w:rPr>
            </w:pPr>
          </w:p>
          <w:p>
            <w:pPr>
              <w:pStyle w:val="11"/>
              <w:spacing w:before="131"/>
              <w:ind w:left="27" w:leftChars="0" w:right="11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3.024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5"/>
              <w:jc w:val="both"/>
              <w:rPr>
                <w:sz w:val="20"/>
              </w:rPr>
            </w:pPr>
          </w:p>
          <w:p>
            <w:pPr>
              <w:pStyle w:val="11"/>
              <w:ind w:left="35" w:right="19"/>
              <w:jc w:val="center"/>
              <w:rPr>
                <w:sz w:val="21"/>
              </w:rPr>
            </w:pPr>
            <w:r>
              <w:rPr>
                <w:sz w:val="21"/>
              </w:rPr>
              <w:t>2021,32(4):575-</w:t>
            </w:r>
          </w:p>
          <w:p>
            <w:pPr>
              <w:pStyle w:val="11"/>
              <w:ind w:left="35" w:leftChars="0" w:right="19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both"/>
              <w:rPr>
                <w:sz w:val="20"/>
              </w:rPr>
            </w:pPr>
          </w:p>
          <w:p>
            <w:pPr>
              <w:pStyle w:val="11"/>
              <w:spacing w:before="131"/>
              <w:ind w:left="134" w:leftChars="0" w:right="117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2021-07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eastAsia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164"/>
              <w:jc w:val="center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52" w:lineRule="exact"/>
              <w:ind w:right="3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252" w:lineRule="exact"/>
              <w:ind w:right="32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Web of Science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eastAsia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164"/>
              <w:ind w:right="295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痹祺胶囊研究进展及其质量标志物的预测分析/中草药/张星艳,李虎玲,李新,许妍妍,高晶,曾勇,于飞,王玉丽,刘昌孝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ind w:right="3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2021,52(09):2746-2757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2021-04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16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52" w:lineRule="exact"/>
              <w:ind w:right="32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中国知网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right="295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18" w:right="3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痹祺胶囊研究进展及其质量标志物的</w:t>
            </w:r>
            <w:r>
              <w:rPr>
                <w:spacing w:val="-1"/>
                <w:sz w:val="21"/>
              </w:rPr>
              <w:t>预测分析/中草药/张星艳，李虎玲，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李新，许妍妍，高晶，曾勇，于飞，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王玉丽，刘昌孝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right="3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202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,5</w:t>
            </w:r>
            <w:r>
              <w:rPr>
                <w:rFonts w:hint="eastAsia"/>
                <w:sz w:val="21"/>
                <w:lang w:val="en-US" w:eastAsia="zh-CN"/>
              </w:rPr>
              <w:t>3</w:t>
            </w:r>
            <w:r>
              <w:rPr>
                <w:sz w:val="21"/>
              </w:rPr>
              <w:t>:</w:t>
            </w:r>
            <w:r>
              <w:rPr>
                <w:rFonts w:hint="eastAsia"/>
                <w:sz w:val="21"/>
                <w:lang w:val="en-US" w:eastAsia="zh-CN"/>
              </w:rPr>
              <w:t>1-8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52" w:lineRule="exact"/>
              <w:ind w:right="32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中国知网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right="295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26" w:type="dxa"/>
            <w:vAlign w:val="center"/>
          </w:tcPr>
          <w:p>
            <w:pPr>
              <w:pStyle w:val="11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80" w:type="dxa"/>
            <w:vAlign w:val="center"/>
          </w:tcPr>
          <w:p>
            <w:pPr>
              <w:pStyle w:val="11"/>
              <w:ind w:left="12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中药配伍减毒的现代研究及思考/中</w:t>
            </w:r>
            <w:r>
              <w:rPr>
                <w:spacing w:val="-1"/>
                <w:sz w:val="21"/>
              </w:rPr>
              <w:t>草药/郑雁雪，王圆圆，王琳，王玉</w:t>
            </w:r>
            <w:r>
              <w:rPr>
                <w:sz w:val="21"/>
              </w:rPr>
              <w:t>明，魏金霞，李遇伯</w:t>
            </w:r>
          </w:p>
        </w:tc>
        <w:tc>
          <w:tcPr>
            <w:tcW w:w="831" w:type="dxa"/>
            <w:vAlign w:val="center"/>
          </w:tcPr>
          <w:p>
            <w:pPr>
              <w:pStyle w:val="11"/>
              <w:ind w:right="37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202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,5</w:t>
            </w:r>
            <w:r>
              <w:rPr>
                <w:rFonts w:hint="eastAsia"/>
                <w:sz w:val="21"/>
                <w:lang w:val="en-US" w:eastAsia="zh-CN"/>
              </w:rPr>
              <w:t>3</w:t>
            </w:r>
            <w:r>
              <w:rPr>
                <w:sz w:val="21"/>
              </w:rPr>
              <w:t>:</w:t>
            </w:r>
            <w:r>
              <w:rPr>
                <w:rFonts w:hint="eastAsia"/>
                <w:sz w:val="21"/>
                <w:lang w:val="en-US" w:eastAsia="zh-CN"/>
              </w:rPr>
              <w:t>1-10</w:t>
            </w:r>
          </w:p>
        </w:tc>
        <w:tc>
          <w:tcPr>
            <w:tcW w:w="992" w:type="dxa"/>
            <w:vAlign w:val="center"/>
          </w:tcPr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4" w:type="dxa"/>
            <w:vAlign w:val="center"/>
          </w:tcPr>
          <w:p>
            <w:pPr>
              <w:pStyle w:val="11"/>
              <w:spacing w:line="252" w:lineRule="exact"/>
              <w:ind w:right="32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中国知网</w:t>
            </w:r>
          </w:p>
        </w:tc>
        <w:tc>
          <w:tcPr>
            <w:tcW w:w="948" w:type="dxa"/>
            <w:vAlign w:val="center"/>
          </w:tcPr>
          <w:p>
            <w:pPr>
              <w:pStyle w:val="11"/>
              <w:ind w:right="295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widowControl/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MTUxNTUyODhjM2Q0YmZlNGU4MDgxNWEzMmRmOTYifQ=="/>
  </w:docVars>
  <w:rsids>
    <w:rsidRoot w:val="00FC78E3"/>
    <w:rsid w:val="000958ED"/>
    <w:rsid w:val="001538DA"/>
    <w:rsid w:val="00235011"/>
    <w:rsid w:val="002766C9"/>
    <w:rsid w:val="004C6F01"/>
    <w:rsid w:val="00580695"/>
    <w:rsid w:val="0059468D"/>
    <w:rsid w:val="0060370F"/>
    <w:rsid w:val="006B67BB"/>
    <w:rsid w:val="00714526"/>
    <w:rsid w:val="0085127F"/>
    <w:rsid w:val="008872BE"/>
    <w:rsid w:val="008A51A5"/>
    <w:rsid w:val="008F0EE0"/>
    <w:rsid w:val="009E32A4"/>
    <w:rsid w:val="00A572E4"/>
    <w:rsid w:val="00B63BFE"/>
    <w:rsid w:val="00BF55F9"/>
    <w:rsid w:val="00D70080"/>
    <w:rsid w:val="00E311A3"/>
    <w:rsid w:val="00E426A1"/>
    <w:rsid w:val="00E8570B"/>
    <w:rsid w:val="00F377B8"/>
    <w:rsid w:val="00FA04E6"/>
    <w:rsid w:val="00FC78E3"/>
    <w:rsid w:val="38C95C5F"/>
    <w:rsid w:val="6B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spacing w:line="360" w:lineRule="auto"/>
      <w:ind w:firstLine="480" w:firstLineChars="200"/>
    </w:pPr>
    <w:rPr>
      <w:rFonts w:ascii="仿宋_GB2312" w:hAnsiTheme="minorHAnsi" w:eastAsiaTheme="minorEastAsia" w:cstheme="minorBidi"/>
      <w:sz w:val="24"/>
      <w:szCs w:val="22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8"/>
    <w:link w:val="2"/>
    <w:qFormat/>
    <w:uiPriority w:val="0"/>
    <w:rPr>
      <w:rFonts w:ascii="仿宋_GB2312"/>
      <w:sz w:val="24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2106</Words>
  <Characters>3315</Characters>
  <Lines>24</Lines>
  <Paragraphs>6</Paragraphs>
  <TotalTime>3</TotalTime>
  <ScaleCrop>false</ScaleCrop>
  <LinksUpToDate>false</LinksUpToDate>
  <CharactersWithSpaces>3508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2022-08-14T04:38:00Z</dcterms:created>
  <dc:creator>99709503@qq.com</dc:creator>
  <cp:lastModifiedBy>萧遥</cp:lastModifiedBy>
  <dcterms:modified xsi:type="dcterms:W3CDTF">2022-08-31T09:25:43Z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BB8F2E1633084AE2BCCFFA93E70C70CE</vt:lpwstr>
  </property>
</Properties>
</file>