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both"/>
        <w:rPr>
          <w:rFonts w:hint="default" w:ascii="STSongStd-Light-UniGB-UCS2-H" w:hAnsi="STSongStd-Light-UniGB-UCS2-H" w:eastAsia="宋体"/>
          <w:lang w:val="en-US" w:eastAsia="zh-CN"/>
        </w:rPr>
      </w:pPr>
      <w:bookmarkStart w:id="1" w:name="_GoBack"/>
      <w:bookmarkEnd w:id="1"/>
      <w:r>
        <w:rPr>
          <w:rFonts w:hint="eastAsia" w:ascii="Times New Roman" w:hAnsi="Times New Roman" w:cs="Times New Roman"/>
        </w:rPr>
        <w:t>项目名称：</w:t>
      </w:r>
      <w:r>
        <w:rPr>
          <w:rFonts w:hint="eastAsia" w:ascii="STSongStd-Light-UniGB-UCS2-H" w:hAnsi="STSongStd-Light-UniGB-UCS2-H"/>
        </w:rPr>
        <w:t>泌尿系</w:t>
      </w:r>
      <w:r>
        <w:rPr>
          <w:rFonts w:hint="eastAsia" w:ascii="STSongStd-Light-UniGB-UCS2-H" w:hAnsi="STSongStd-Light-UniGB-UCS2-H"/>
          <w:lang w:val="en-US" w:eastAsia="zh-CN"/>
        </w:rPr>
        <w:t>结石</w:t>
      </w:r>
      <w:r>
        <w:rPr>
          <w:rFonts w:hint="eastAsia" w:ascii="STSongStd-Light-UniGB-UCS2-H" w:hAnsi="STSongStd-Light-UniGB-UCS2-H"/>
        </w:rPr>
        <w:t>精准防治</w:t>
      </w:r>
      <w:r>
        <w:rPr>
          <w:rFonts w:hint="eastAsia" w:ascii="STSongStd-Light-UniGB-UCS2-H" w:hAnsi="STSongStd-Light-UniGB-UCS2-H"/>
          <w:lang w:val="en-US" w:eastAsia="zh-CN"/>
        </w:rPr>
        <w:t>策略的建立与推广</w:t>
      </w:r>
    </w:p>
    <w:p>
      <w:pPr>
        <w:pStyle w:val="4"/>
        <w:snapToGrid w:val="0"/>
        <w:spacing w:before="0" w:beforeAutospacing="0" w:after="0" w:afterAutospacing="0" w:line="360" w:lineRule="auto"/>
        <w:jc w:val="both"/>
        <w:rPr>
          <w:rFonts w:ascii="Times New Roman" w:hAnsi="Times New Roman" w:cs="Times New Roman"/>
        </w:rPr>
      </w:pPr>
      <w:r>
        <w:rPr>
          <w:rFonts w:hint="eastAsia"/>
        </w:rPr>
        <w:t>提名奖项和等级：</w:t>
      </w:r>
      <w:r>
        <w:rPr>
          <w:rFonts w:hint="eastAsia" w:ascii="Times New Roman" w:hAnsi="Times New Roman" w:cs="Times New Roman"/>
        </w:rPr>
        <w:t>科学技术进步奖</w:t>
      </w:r>
      <w:r>
        <w:rPr>
          <w:rFonts w:ascii="Times New Roman" w:hAnsi="Times New Roman" w:cs="Times New Roman"/>
        </w:rPr>
        <w:t xml:space="preserve">  </w:t>
      </w:r>
      <w:r>
        <w:rPr>
          <w:rFonts w:hint="eastAsia" w:ascii="Times New Roman" w:hAnsi="Times New Roman" w:cs="Times New Roman"/>
        </w:rPr>
        <w:t>二等奖</w:t>
      </w:r>
    </w:p>
    <w:p>
      <w:pPr>
        <w:snapToGrid w:val="0"/>
        <w:spacing w:line="360" w:lineRule="auto"/>
        <w:rPr>
          <w:rFonts w:hint="default" w:ascii="Times New Roman" w:hAnsi="Times New Roman" w:eastAsia="宋体" w:cs="Times New Roman"/>
          <w:lang w:val="en-US" w:eastAsia="zh-CN"/>
        </w:rPr>
      </w:pPr>
      <w:r>
        <w:rPr>
          <w:rFonts w:hint="eastAsia" w:ascii="Times New Roman" w:hAnsi="Times New Roman" w:cs="Times New Roman"/>
        </w:rPr>
        <w:t>主要完成单位：天津医科大学第二医院</w:t>
      </w:r>
      <w:r>
        <w:rPr>
          <w:rFonts w:hint="eastAsia" w:ascii="Times New Roman" w:hAnsi="Times New Roman" w:cs="Times New Roman"/>
          <w:lang w:eastAsia="zh-CN"/>
        </w:rPr>
        <w:t>，</w:t>
      </w:r>
      <w:r>
        <w:rPr>
          <w:rFonts w:hint="eastAsia" w:ascii="Times New Roman" w:hAnsi="Times New Roman" w:cs="Times New Roman"/>
          <w:lang w:val="en-US" w:eastAsia="zh-CN"/>
        </w:rPr>
        <w:t>华谱智能科技（天津）有限公司</w:t>
      </w:r>
    </w:p>
    <w:p>
      <w:pPr>
        <w:snapToGrid w:val="0"/>
        <w:spacing w:line="360" w:lineRule="auto"/>
        <w:rPr>
          <w:rFonts w:hint="default" w:ascii="Times New Roman" w:hAnsi="Times New Roman" w:cs="Times New Roman"/>
          <w:lang w:val="en-US"/>
        </w:rPr>
      </w:pPr>
      <w:r>
        <w:rPr>
          <w:rFonts w:hint="eastAsia" w:ascii="Times New Roman" w:hAnsi="Times New Roman" w:cs="Times New Roman"/>
        </w:rPr>
        <w:t>主要完成人：刘春雨，解海杰，谢林国，李杰</w:t>
      </w:r>
      <w:r>
        <w:rPr>
          <w:rFonts w:hint="eastAsia" w:ascii="Times New Roman" w:hAnsi="Times New Roman" w:cs="Times New Roman"/>
          <w:lang w:eastAsia="zh-CN"/>
        </w:rPr>
        <w:t>，</w:t>
      </w:r>
      <w:r>
        <w:rPr>
          <w:rFonts w:hint="eastAsia" w:ascii="Times New Roman" w:hAnsi="Times New Roman" w:cs="Times New Roman"/>
        </w:rPr>
        <w:t>高洪伟</w:t>
      </w:r>
      <w:r>
        <w:rPr>
          <w:rFonts w:hint="eastAsia" w:ascii="Times New Roman" w:hAnsi="Times New Roman" w:cs="Times New Roman"/>
          <w:lang w:eastAsia="zh-CN"/>
        </w:rPr>
        <w:t>，</w:t>
      </w:r>
      <w:r>
        <w:rPr>
          <w:rFonts w:hint="eastAsia" w:ascii="Times New Roman" w:hAnsi="Times New Roman" w:cs="Times New Roman"/>
          <w:lang w:val="en-US" w:eastAsia="zh-CN"/>
        </w:rPr>
        <w:t>王锐，贺新</w:t>
      </w:r>
    </w:p>
    <w:p>
      <w:pPr>
        <w:snapToGrid w:val="0"/>
        <w:spacing w:line="360" w:lineRule="auto"/>
        <w:rPr>
          <w:rFonts w:ascii="Times New Roman" w:hAnsi="Times New Roman" w:cs="Times New Roman"/>
        </w:rPr>
      </w:pPr>
      <w:r>
        <w:rPr>
          <w:rFonts w:hint="eastAsia" w:ascii="Times New Roman" w:hAnsi="Times New Roman" w:cs="Times New Roman"/>
        </w:rPr>
        <w:t>提名者：天津医科大学</w:t>
      </w:r>
    </w:p>
    <w:p>
      <w:pPr>
        <w:spacing w:before="120" w:line="360" w:lineRule="exact"/>
        <w:rPr>
          <w:rFonts w:ascii="Times New Roman" w:hAnsi="Times New Roman" w:cs="Times New Roman"/>
          <w:color w:val="333333"/>
          <w:shd w:val="clear" w:color="auto" w:fill="FFFFFF"/>
        </w:rPr>
      </w:pPr>
      <w:r>
        <w:rPr>
          <w:rFonts w:ascii="Times New Roman" w:hAnsi="Times New Roman" w:cs="Times New Roman"/>
          <w:b/>
          <w:color w:val="000000"/>
          <w:shd w:val="clear" w:color="auto" w:fill="FFFFFF"/>
        </w:rPr>
        <w:t>申报内容介绍：</w:t>
      </w:r>
    </w:p>
    <w:p>
      <w:pPr>
        <w:spacing w:before="120" w:line="360" w:lineRule="exact"/>
        <w:ind w:firstLine="480" w:firstLineChars="200"/>
        <w:rPr>
          <w:rFonts w:ascii="Times New Roman" w:hAnsi="Times New Roman" w:cs="Times New Roman"/>
        </w:rPr>
      </w:pPr>
      <w:r>
        <w:rPr>
          <w:rFonts w:ascii="Times New Roman" w:hAnsi="Times New Roman" w:cs="Times New Roman"/>
        </w:rPr>
        <w:t>该项目属于泌尿外科领域。</w:t>
      </w:r>
    </w:p>
    <w:p>
      <w:pPr>
        <w:spacing w:before="120" w:line="360" w:lineRule="exact"/>
        <w:ind w:firstLine="480" w:firstLineChars="200"/>
        <w:jc w:val="both"/>
        <w:rPr>
          <w:rFonts w:ascii="Times New Roman" w:hAnsi="Times New Roman" w:cs="Times New Roman"/>
        </w:rPr>
      </w:pPr>
      <w:r>
        <w:rPr>
          <w:rFonts w:hint="eastAsia" w:ascii="Times New Roman" w:hAnsi="Times New Roman"/>
          <w:sz w:val="24"/>
          <w:szCs w:val="24"/>
          <w:lang w:val="en-US" w:eastAsia="zh-CN"/>
        </w:rPr>
        <w:t>泌尿系结石是我国泌尿外科常见病和多发病，在泌尿外科住院患者中占居首位</w:t>
      </w:r>
      <w:r>
        <w:rPr>
          <w:rFonts w:ascii="Times New Roman" w:hAnsi="Times New Roman" w:cs="Times New Roman"/>
        </w:rPr>
        <w:t>，造成沉重经济及社会负担。然而，</w:t>
      </w:r>
      <w:r>
        <w:rPr>
          <w:rFonts w:hint="eastAsia" w:ascii="Times New Roman" w:hAnsi="Times New Roman" w:cs="Times New Roman"/>
          <w:lang w:val="en-US" w:eastAsia="zh-CN"/>
        </w:rPr>
        <w:t>目前尚未建立</w:t>
      </w:r>
      <w:r>
        <w:rPr>
          <w:rFonts w:ascii="Times New Roman" w:hAnsi="Times New Roman" w:cs="Times New Roman"/>
        </w:rPr>
        <w:t>精准、</w:t>
      </w:r>
      <w:r>
        <w:rPr>
          <w:rFonts w:hint="eastAsia" w:ascii="Times New Roman" w:hAnsi="Times New Roman" w:cs="Times New Roman"/>
          <w:lang w:val="en-US" w:eastAsia="zh-CN"/>
        </w:rPr>
        <w:t>确切</w:t>
      </w:r>
      <w:r>
        <w:rPr>
          <w:rFonts w:ascii="Times New Roman" w:hAnsi="Times New Roman" w:cs="Times New Roman"/>
        </w:rPr>
        <w:t>的外科</w:t>
      </w:r>
      <w:r>
        <w:rPr>
          <w:rFonts w:hint="eastAsia" w:ascii="Times New Roman" w:hAnsi="Times New Roman" w:cs="Times New Roman"/>
          <w:lang w:val="en-US" w:eastAsia="zh-CN"/>
        </w:rPr>
        <w:t>围手术期</w:t>
      </w:r>
      <w:r>
        <w:rPr>
          <w:rFonts w:ascii="Times New Roman" w:hAnsi="Times New Roman" w:cs="Times New Roman"/>
        </w:rPr>
        <w:t>干预</w:t>
      </w:r>
      <w:r>
        <w:rPr>
          <w:rFonts w:hint="eastAsia" w:ascii="Times New Roman" w:hAnsi="Times New Roman" w:cs="Times New Roman"/>
          <w:lang w:val="en-US" w:eastAsia="zh-CN"/>
        </w:rPr>
        <w:t>策略</w:t>
      </w:r>
      <w:r>
        <w:rPr>
          <w:rFonts w:ascii="Times New Roman" w:hAnsi="Times New Roman" w:cs="Times New Roman"/>
        </w:rPr>
        <w:t>和规范、</w:t>
      </w:r>
      <w:r>
        <w:rPr>
          <w:rFonts w:hint="eastAsia" w:ascii="Times New Roman" w:hAnsi="Times New Roman" w:cs="Times New Roman"/>
          <w:lang w:val="en-US" w:eastAsia="zh-CN"/>
        </w:rPr>
        <w:t>全流程</w:t>
      </w:r>
      <w:r>
        <w:rPr>
          <w:rFonts w:ascii="Times New Roman" w:hAnsi="Times New Roman" w:cs="Times New Roman"/>
        </w:rPr>
        <w:t>的</w:t>
      </w:r>
      <w:r>
        <w:rPr>
          <w:rFonts w:hint="eastAsia" w:ascii="Times New Roman" w:hAnsi="Times New Roman" w:cs="Times New Roman"/>
          <w:lang w:val="en-US" w:eastAsia="zh-CN"/>
        </w:rPr>
        <w:t>泌尿系结石防治</w:t>
      </w:r>
      <w:r>
        <w:rPr>
          <w:rFonts w:ascii="Times New Roman" w:hAnsi="Times New Roman" w:cs="Times New Roman"/>
        </w:rPr>
        <w:t>体系。项目组历时</w:t>
      </w:r>
      <w:r>
        <w:rPr>
          <w:rFonts w:hint="eastAsia" w:ascii="Times New Roman" w:hAnsi="Times New Roman" w:cs="Times New Roman"/>
          <w:lang w:val="en-US" w:eastAsia="zh-CN"/>
        </w:rPr>
        <w:t>5</w:t>
      </w:r>
      <w:r>
        <w:rPr>
          <w:rFonts w:ascii="Times New Roman" w:hAnsi="Times New Roman" w:cs="Times New Roman"/>
        </w:rPr>
        <w:t>年，在</w:t>
      </w:r>
      <w:r>
        <w:rPr>
          <w:rFonts w:hint="eastAsia" w:ascii="Times New Roman" w:hAnsi="Times New Roman" w:cs="Times New Roman"/>
          <w:lang w:val="en-US" w:eastAsia="zh-CN"/>
        </w:rPr>
        <w:t>5</w:t>
      </w:r>
      <w:r>
        <w:rPr>
          <w:rFonts w:ascii="Times New Roman" w:hAnsi="Times New Roman" w:cs="Times New Roman"/>
        </w:rPr>
        <w:t>项各类科研课题的资助下，</w:t>
      </w:r>
      <w:r>
        <w:rPr>
          <w:rFonts w:hint="eastAsia" w:ascii="Times New Roman" w:hAnsi="Times New Roman" w:cs="Times New Roman"/>
          <w:lang w:val="en-US" w:eastAsia="zh-CN"/>
        </w:rPr>
        <w:t>制定了尿石症患者膳食指导</w:t>
      </w:r>
      <w:r>
        <w:rPr>
          <w:rFonts w:ascii="Times New Roman" w:hAnsi="Times New Roman" w:cs="Times New Roman"/>
        </w:rPr>
        <w:t>，创研</w:t>
      </w:r>
      <w:r>
        <w:rPr>
          <w:rFonts w:hint="eastAsia" w:ascii="Times New Roman" w:hAnsi="Times New Roman" w:cs="Times New Roman"/>
          <w:lang w:val="en-US" w:eastAsia="zh-CN"/>
        </w:rPr>
        <w:t>泌</w:t>
      </w:r>
      <w:r>
        <w:rPr>
          <w:rFonts w:hint="eastAsia" w:ascii="STSongStd-Light-UniGB-UCS2-H" w:hAnsi="STSongStd-Light-UniGB-UCS2-H"/>
        </w:rPr>
        <w:t>尿系</w:t>
      </w:r>
      <w:r>
        <w:rPr>
          <w:rFonts w:hint="eastAsia" w:ascii="STSongStd-Light-UniGB-UCS2-H" w:hAnsi="STSongStd-Light-UniGB-UCS2-H"/>
          <w:lang w:val="en-US" w:eastAsia="zh-CN"/>
        </w:rPr>
        <w:t>结石</w:t>
      </w:r>
      <w:r>
        <w:rPr>
          <w:rFonts w:ascii="Times New Roman" w:hAnsi="Times New Roman" w:cs="Times New Roman"/>
        </w:rPr>
        <w:t>外科</w:t>
      </w:r>
      <w:r>
        <w:rPr>
          <w:rFonts w:hint="eastAsia" w:ascii="Times New Roman" w:hAnsi="Times New Roman" w:cs="Times New Roman"/>
          <w:lang w:val="en-US" w:eastAsia="zh-CN"/>
        </w:rPr>
        <w:t>精准化、规范化</w:t>
      </w:r>
      <w:r>
        <w:rPr>
          <w:rFonts w:ascii="Times New Roman" w:hAnsi="Times New Roman" w:cs="Times New Roman"/>
        </w:rPr>
        <w:t>治疗新技术，</w:t>
      </w:r>
      <w:r>
        <w:rPr>
          <w:rFonts w:hint="eastAsia" w:ascii="Times New Roman" w:hAnsi="Times New Roman" w:cs="Times New Roman"/>
          <w:lang w:val="en-US" w:eastAsia="zh-CN"/>
        </w:rPr>
        <w:t>优化结石手术围术期管理方案</w:t>
      </w:r>
      <w:r>
        <w:rPr>
          <w:rFonts w:ascii="Times New Roman" w:hAnsi="Times New Roman" w:cs="Times New Roman"/>
        </w:rPr>
        <w:t>，</w:t>
      </w:r>
      <w:r>
        <w:rPr>
          <w:rFonts w:hint="eastAsia" w:ascii="Times New Roman" w:hAnsi="Times New Roman" w:cs="Times New Roman"/>
          <w:lang w:val="en-US" w:eastAsia="zh-CN"/>
        </w:rPr>
        <w:t>开创结石成分检测与分析新方法并实现基于结石成分精准分析的药物溶石治疗，并面向大众群体进行泌尿系结石防治知识专题科普宣传活动，形成了完善的泌尿系结石精准防治策略并进行推广，</w:t>
      </w:r>
      <w:r>
        <w:rPr>
          <w:rFonts w:ascii="Times New Roman" w:hAnsi="Times New Roman" w:cs="Times New Roman"/>
        </w:rPr>
        <w:t>取得系列创新成果：</w:t>
      </w:r>
    </w:p>
    <w:p>
      <w:pPr>
        <w:spacing w:before="120" w:line="360" w:lineRule="exact"/>
        <w:ind w:firstLine="482" w:firstLineChars="200"/>
        <w:jc w:val="both"/>
        <w:rPr>
          <w:rFonts w:hint="eastAsia" w:ascii="Times New Roman" w:hAnsi="Times New Roman" w:cs="Times New Roman"/>
          <w:b/>
          <w:lang w:eastAsia="zh-CN"/>
        </w:rPr>
      </w:pPr>
      <w:r>
        <w:rPr>
          <w:rFonts w:ascii="Times New Roman" w:hAnsi="Times New Roman" w:cs="Times New Roman"/>
          <w:b/>
        </w:rPr>
        <w:t xml:space="preserve">1. </w:t>
      </w:r>
      <w:r>
        <w:rPr>
          <w:rFonts w:hint="eastAsia" w:ascii="Times New Roman" w:hAnsi="Times New Roman" w:cs="Times New Roman"/>
          <w:b/>
        </w:rPr>
        <w:t>完成尿石症患者的膳食</w:t>
      </w:r>
      <w:r>
        <w:rPr>
          <w:rFonts w:hint="eastAsia" w:ascii="Times New Roman" w:hAnsi="Times New Roman" w:cs="Times New Roman"/>
          <w:b/>
          <w:lang w:val="en-US" w:eastAsia="zh-CN"/>
        </w:rPr>
        <w:t>特征</w:t>
      </w:r>
      <w:r>
        <w:rPr>
          <w:rFonts w:hint="eastAsia" w:ascii="Times New Roman" w:hAnsi="Times New Roman" w:cs="Times New Roman"/>
          <w:b/>
        </w:rPr>
        <w:t>调查与膳食危险因素分析</w:t>
      </w:r>
      <w:r>
        <w:rPr>
          <w:rFonts w:hint="eastAsia" w:ascii="Times New Roman" w:hAnsi="Times New Roman" w:cs="Times New Roman"/>
          <w:b/>
          <w:lang w:eastAsia="zh-CN"/>
        </w:rPr>
        <w:t>，</w:t>
      </w:r>
      <w:r>
        <w:rPr>
          <w:rFonts w:hint="eastAsia" w:ascii="Times New Roman" w:hAnsi="Times New Roman" w:cs="Times New Roman"/>
          <w:b/>
          <w:lang w:val="en-US" w:eastAsia="zh-CN"/>
        </w:rPr>
        <w:t>针对性</w:t>
      </w:r>
      <w:r>
        <w:rPr>
          <w:rFonts w:hint="eastAsia" w:ascii="Times New Roman" w:hAnsi="Times New Roman" w:cs="Times New Roman"/>
          <w:b/>
          <w:lang w:eastAsia="zh-CN"/>
        </w:rPr>
        <w:t>制定</w:t>
      </w:r>
      <w:r>
        <w:rPr>
          <w:rFonts w:hint="eastAsia" w:ascii="Times New Roman" w:hAnsi="Times New Roman" w:cs="Times New Roman"/>
          <w:b/>
          <w:lang w:val="en-US" w:eastAsia="zh-CN"/>
        </w:rPr>
        <w:t>适用于我国患者的</w:t>
      </w:r>
      <w:r>
        <w:rPr>
          <w:rFonts w:hint="eastAsia" w:ascii="Times New Roman" w:hAnsi="Times New Roman" w:cs="Times New Roman"/>
          <w:b/>
          <w:lang w:eastAsia="zh-CN"/>
        </w:rPr>
        <w:t>尿石症患者膳食指导。</w:t>
      </w:r>
      <w:r>
        <w:rPr>
          <w:rFonts w:hint="eastAsia" w:ascii="Times New Roman" w:hAnsi="Times New Roman" w:eastAsia="宋体" w:cs="Times New Roman"/>
          <w:lang w:val="en-US" w:eastAsia="zh-CN"/>
        </w:rPr>
        <w:t>根据</w:t>
      </w:r>
      <w:r>
        <w:rPr>
          <w:rFonts w:hint="eastAsia" w:ascii="Times New Roman" w:hAnsi="Times New Roman" w:eastAsia="宋体" w:cs="Times New Roman"/>
          <w:lang w:eastAsia="zh-CN"/>
        </w:rPr>
        <w:t>尿石症患者的营养知识-态度-行为调查和膳食调查</w:t>
      </w:r>
      <w:r>
        <w:rPr>
          <w:rFonts w:hint="eastAsia" w:ascii="Times New Roman" w:hAnsi="Times New Roman" w:eastAsia="宋体" w:cs="Times New Roman"/>
          <w:lang w:val="en-US" w:eastAsia="zh-CN"/>
        </w:rPr>
        <w:t>与相关危险因素分析，结合《中国居民膳食营养素参考摄入量》（2013版）、《中国居民膳食指南》（2016版）；国内外近10年来膳食因素与尿石症发病关系的研究证据；我国居民膳食特点，拟定尿石症患者膳食指导，减轻患者的身体及经济负担，降低结石治疗的社会成本。</w:t>
      </w:r>
    </w:p>
    <w:p>
      <w:pPr>
        <w:spacing w:before="120" w:line="360" w:lineRule="exact"/>
        <w:ind w:firstLine="482" w:firstLineChars="200"/>
        <w:jc w:val="both"/>
        <w:rPr>
          <w:rFonts w:hint="default" w:ascii="Times New Roman" w:hAnsi="Times New Roman" w:eastAsia="宋体" w:cs="Times New Roman"/>
          <w:lang w:val="en-US" w:eastAsia="zh-CN"/>
        </w:rPr>
      </w:pPr>
      <w:r>
        <w:rPr>
          <w:rFonts w:ascii="Times New Roman" w:hAnsi="Times New Roman" w:cs="Times New Roman"/>
          <w:b/>
        </w:rPr>
        <w:t>2. 创研</w:t>
      </w:r>
      <w:r>
        <w:rPr>
          <w:rFonts w:hint="eastAsia" w:ascii="Times New Roman" w:hAnsi="Times New Roman" w:cs="Times New Roman"/>
          <w:b/>
          <w:lang w:val="en-US" w:eastAsia="zh-CN"/>
        </w:rPr>
        <w:t>泌</w:t>
      </w:r>
      <w:r>
        <w:rPr>
          <w:rFonts w:hint="eastAsia" w:ascii="Times New Roman" w:hAnsi="Times New Roman" w:cs="Times New Roman"/>
          <w:b/>
        </w:rPr>
        <w:t>尿系</w:t>
      </w:r>
      <w:r>
        <w:rPr>
          <w:rFonts w:hint="eastAsia" w:ascii="Times New Roman" w:hAnsi="Times New Roman" w:cs="Times New Roman"/>
          <w:b/>
          <w:lang w:val="en-US" w:eastAsia="zh-CN"/>
        </w:rPr>
        <w:t>结石精准化、规范化</w:t>
      </w:r>
      <w:r>
        <w:rPr>
          <w:rFonts w:ascii="Times New Roman" w:hAnsi="Times New Roman" w:cs="Times New Roman"/>
          <w:b/>
        </w:rPr>
        <w:t>外科治疗新技术，</w:t>
      </w:r>
      <w:r>
        <w:rPr>
          <w:rFonts w:hint="eastAsia" w:ascii="Times New Roman" w:hAnsi="Times New Roman" w:cs="Times New Roman"/>
          <w:b/>
          <w:lang w:val="en-US" w:eastAsia="zh-CN"/>
        </w:rPr>
        <w:t>提高手术效率及安全性</w:t>
      </w:r>
      <w:r>
        <w:rPr>
          <w:rFonts w:ascii="Times New Roman" w:hAnsi="Times New Roman" w:cs="Times New Roman"/>
          <w:b/>
        </w:rPr>
        <w:t>。</w:t>
      </w:r>
      <w:r>
        <w:rPr>
          <w:rFonts w:ascii="Times New Roman" w:hAnsi="Times New Roman"/>
          <w:kern w:val="0"/>
          <w:sz w:val="24"/>
        </w:rPr>
        <w:t>构建</w:t>
      </w:r>
      <w:r>
        <w:rPr>
          <w:rFonts w:hint="eastAsia" w:ascii="Times New Roman" w:hAnsi="Times New Roman"/>
          <w:kern w:val="0"/>
          <w:sz w:val="24"/>
          <w:lang w:val="en-US" w:eastAsia="zh-CN"/>
        </w:rPr>
        <w:t>了经皮肾镜碎石取石术可视化穿刺</w:t>
      </w:r>
      <w:r>
        <w:rPr>
          <w:rFonts w:ascii="Times New Roman" w:hAnsi="Times New Roman"/>
          <w:kern w:val="0"/>
          <w:sz w:val="24"/>
        </w:rPr>
        <w:t>的标准操作流程</w:t>
      </w:r>
      <w:r>
        <w:rPr>
          <w:rFonts w:hint="eastAsia" w:ascii="Times New Roman" w:hAnsi="Times New Roman"/>
          <w:kern w:val="0"/>
          <w:sz w:val="24"/>
          <w:lang w:eastAsia="zh-CN"/>
        </w:rPr>
        <w:t>，</w:t>
      </w:r>
      <w:r>
        <w:rPr>
          <w:rFonts w:ascii="Times New Roman" w:hAnsi="Times New Roman"/>
          <w:kern w:val="0"/>
          <w:szCs w:val="21"/>
        </w:rPr>
        <w:t>采用</w:t>
      </w:r>
      <w:r>
        <w:rPr>
          <w:rFonts w:hint="eastAsia" w:ascii="Times New Roman" w:hAnsi="Times New Roman"/>
          <w:kern w:val="0"/>
          <w:szCs w:val="21"/>
          <w:lang w:val="en-US" w:eastAsia="zh-CN"/>
        </w:rPr>
        <w:t>稳定的组合式</w:t>
      </w:r>
      <w:r>
        <w:rPr>
          <w:rFonts w:ascii="Times New Roman" w:hAnsi="Times New Roman"/>
          <w:kern w:val="0"/>
          <w:szCs w:val="21"/>
        </w:rPr>
        <w:t>可视穿刺系统对</w:t>
      </w:r>
      <w:r>
        <w:rPr>
          <w:rFonts w:hint="eastAsia" w:ascii="Times New Roman" w:hAnsi="Times New Roman"/>
          <w:kern w:val="0"/>
          <w:szCs w:val="21"/>
          <w:lang w:val="en-US" w:eastAsia="zh-CN"/>
        </w:rPr>
        <w:t>皮肾</w:t>
      </w:r>
      <w:r>
        <w:rPr>
          <w:rFonts w:ascii="Times New Roman" w:hAnsi="Times New Roman"/>
          <w:kern w:val="0"/>
          <w:szCs w:val="21"/>
        </w:rPr>
        <w:t>穿刺通道进行全程可视化监视，充分做到精准穿刺，降低中度积水以下患者手术风险、并发症及手术难度</w:t>
      </w:r>
      <w:r>
        <w:rPr>
          <w:rFonts w:hint="eastAsia" w:ascii="Times New Roman" w:hAnsi="Times New Roman"/>
          <w:kern w:val="0"/>
          <w:szCs w:val="21"/>
          <w:lang w:eastAsia="zh-CN"/>
        </w:rPr>
        <w:t>；</w:t>
      </w:r>
      <w:r>
        <w:rPr>
          <w:rFonts w:hint="eastAsia" w:ascii="Times New Roman" w:hAnsi="Times New Roman"/>
          <w:kern w:val="0"/>
          <w:szCs w:val="21"/>
          <w:lang w:val="en-US" w:eastAsia="zh-CN"/>
        </w:rPr>
        <w:t>在前期获批的实用新型专利——“一种被动弯曲泌尿导引鞘”的基础上革新了输尿管软镜取石术的手术步骤，在保证术中低压的前提下在术中将碎石吸出，变既往的术后被动排石为术中主动清石，</w:t>
      </w:r>
      <w:r>
        <w:rPr>
          <w:rFonts w:hint="eastAsia" w:ascii="Times New Roman" w:hAnsi="Times New Roman"/>
          <w:color w:val="000000"/>
          <w:kern w:val="0"/>
          <w:sz w:val="24"/>
          <w:lang w:val="en-US" w:eastAsia="zh-CN"/>
        </w:rPr>
        <w:t>提高手术安全性的同时显著提高术中结石清除效率，改善了</w:t>
      </w:r>
      <w:r>
        <w:rPr>
          <w:rFonts w:ascii="Times New Roman" w:hAnsi="Times New Roman" w:cs="Times New Roman"/>
        </w:rPr>
        <w:t>患者预后</w:t>
      </w:r>
      <w:r>
        <w:rPr>
          <w:rFonts w:hint="eastAsia" w:ascii="Times New Roman" w:hAnsi="Times New Roman"/>
          <w:color w:val="000000"/>
          <w:kern w:val="0"/>
          <w:sz w:val="24"/>
          <w:lang w:val="en-US" w:eastAsia="zh-CN"/>
        </w:rPr>
        <w:t>。</w:t>
      </w:r>
    </w:p>
    <w:p>
      <w:pPr>
        <w:spacing w:before="120" w:line="360" w:lineRule="exact"/>
        <w:ind w:firstLine="482" w:firstLineChars="200"/>
        <w:jc w:val="both"/>
        <w:rPr>
          <w:rFonts w:ascii="宋体" w:hAnsi="宋体"/>
          <w:szCs w:val="21"/>
        </w:rPr>
      </w:pPr>
      <w:r>
        <w:rPr>
          <w:rFonts w:ascii="Times New Roman" w:hAnsi="Times New Roman" w:cs="Times New Roman"/>
          <w:b/>
        </w:rPr>
        <w:t>3.</w:t>
      </w:r>
      <w:r>
        <w:rPr>
          <w:rFonts w:hint="eastAsia" w:ascii="Times New Roman" w:hAnsi="Times New Roman" w:cs="Times New Roman"/>
          <w:b/>
          <w:lang w:val="en-US" w:eastAsia="zh-CN"/>
        </w:rPr>
        <w:t xml:space="preserve"> 构建</w:t>
      </w:r>
      <w:r>
        <w:rPr>
          <w:rFonts w:hint="eastAsia" w:ascii="Times New Roman" w:hAnsi="Times New Roman" w:cs="Times New Roman"/>
          <w:b/>
        </w:rPr>
        <w:t>上尿路结石并发术后感染的</w:t>
      </w:r>
      <w:r>
        <w:rPr>
          <w:rFonts w:hint="eastAsia" w:ascii="Times New Roman" w:hAnsi="Times New Roman" w:cs="Times New Roman"/>
          <w:b/>
          <w:lang w:val="en-US" w:eastAsia="zh-CN"/>
        </w:rPr>
        <w:t>精准化</w:t>
      </w:r>
      <w:r>
        <w:rPr>
          <w:rFonts w:hint="eastAsia" w:ascii="Times New Roman" w:hAnsi="Times New Roman" w:cs="Times New Roman"/>
          <w:b/>
        </w:rPr>
        <w:t>风险预测</w:t>
      </w:r>
      <w:r>
        <w:rPr>
          <w:rFonts w:hint="eastAsia" w:ascii="Times New Roman" w:hAnsi="Times New Roman" w:cs="Times New Roman"/>
          <w:b/>
          <w:lang w:val="en-US" w:eastAsia="zh-CN"/>
        </w:rPr>
        <w:t>模型，优化</w:t>
      </w:r>
      <w:r>
        <w:rPr>
          <w:rFonts w:hint="eastAsia" w:ascii="Times New Roman" w:hAnsi="Times New Roman" w:cs="Times New Roman"/>
          <w:b/>
        </w:rPr>
        <w:t>相关干预措</w:t>
      </w:r>
      <w:r>
        <w:rPr>
          <w:rFonts w:hint="eastAsia" w:ascii="Times New Roman" w:hAnsi="Times New Roman" w:cs="Times New Roman"/>
          <w:b/>
          <w:lang w:eastAsia="zh-CN"/>
        </w:rPr>
        <w:t>。</w:t>
      </w:r>
      <w:r>
        <w:t>明确了上尿路结石术后并发感染的高危因素</w:t>
      </w:r>
      <w:r>
        <w:rPr>
          <w:rFonts w:hint="eastAsia"/>
          <w:lang w:val="en-US" w:eastAsia="zh-CN"/>
        </w:rPr>
        <w:t>并</w:t>
      </w:r>
      <w:r>
        <w:t>构建了风险预测模型</w:t>
      </w:r>
      <w:r>
        <w:rPr>
          <w:rFonts w:hint="eastAsia"/>
          <w:lang w:eastAsia="zh-CN"/>
        </w:rPr>
        <w:t>，</w:t>
      </w:r>
      <w:r>
        <w:rPr>
          <w:rFonts w:hint="eastAsia"/>
          <w:lang w:val="en-US" w:eastAsia="zh-CN"/>
        </w:rPr>
        <w:t>根据</w:t>
      </w:r>
      <w:r>
        <w:t>上尿路结石合并感染的病原学及抗菌谱数据开发了针对常见病原菌感染</w:t>
      </w:r>
      <w:r>
        <w:rPr>
          <w:rFonts w:hint="eastAsia"/>
          <w:lang w:val="en-US" w:eastAsia="zh-CN"/>
        </w:rPr>
        <w:t>的</w:t>
      </w:r>
      <w:r>
        <w:t>检测试剂盒</w:t>
      </w:r>
      <w:r>
        <w:rPr>
          <w:rFonts w:hint="eastAsia"/>
          <w:lang w:eastAsia="zh-CN"/>
        </w:rPr>
        <w:t>，</w:t>
      </w:r>
      <w:r>
        <w:t>对上尿路结石术后并尿源性脓毒症休克的治疗手段进行了优化</w:t>
      </w:r>
      <w:r>
        <w:rPr>
          <w:rFonts w:hint="eastAsia"/>
          <w:lang w:eastAsia="zh-CN"/>
        </w:rPr>
        <w:t>，</w:t>
      </w:r>
      <w:r>
        <w:t>制定和完善了术后并发严重感染的</w:t>
      </w:r>
      <w:r>
        <w:rPr>
          <w:rFonts w:hint="eastAsia"/>
          <w:lang w:val="en-US" w:eastAsia="zh-CN"/>
        </w:rPr>
        <w:t>精准化</w:t>
      </w:r>
      <w:r>
        <w:t>预防</w:t>
      </w:r>
      <w:r>
        <w:rPr>
          <w:rFonts w:hint="eastAsia"/>
          <w:lang w:eastAsia="zh-CN"/>
        </w:rPr>
        <w:t>、</w:t>
      </w:r>
      <w:r>
        <w:t>诊断和</w:t>
      </w:r>
      <w:r>
        <w:rPr>
          <w:rFonts w:hint="eastAsia"/>
          <w:lang w:val="en-US" w:eastAsia="zh-CN"/>
        </w:rPr>
        <w:t>干预</w:t>
      </w:r>
      <w:r>
        <w:t>方案。</w:t>
      </w:r>
    </w:p>
    <w:p>
      <w:pPr>
        <w:spacing w:before="120" w:line="276" w:lineRule="auto"/>
        <w:ind w:firstLine="482" w:firstLineChars="200"/>
        <w:jc w:val="both"/>
      </w:pPr>
      <w:r>
        <w:rPr>
          <w:rFonts w:ascii="Times New Roman" w:hAnsi="Times New Roman" w:cs="Times New Roman"/>
          <w:b/>
        </w:rPr>
        <w:t xml:space="preserve">4. </w:t>
      </w:r>
      <w:r>
        <w:rPr>
          <w:rFonts w:hint="eastAsia" w:ascii="Times New Roman" w:hAnsi="Times New Roman" w:cs="Times New Roman"/>
          <w:b/>
          <w:lang w:val="en-US" w:eastAsia="zh-CN"/>
        </w:rPr>
        <w:t>开创基于光谱分析和人工智能算法的精准泌尿系结石成分检测与分析新方法，实现以结石成分精准分析为基础的药物溶石治疗。</w:t>
      </w:r>
      <w:r>
        <w:rPr>
          <w:rFonts w:hint="eastAsia"/>
          <w:lang w:val="en-US" w:eastAsia="zh-CN"/>
        </w:rPr>
        <w:t>使用激光诱导击穿光谱法及Raman光谱法测得的光谱数据检测结石成分，并利用人工智能算法建立机器学习模型，得到基于联合光谱的结石成分的快速分析方法，可精准分析结石元素组学构成及基质组分，指导开展后续基础研究，获批实用新型专利1项及光谱平台配套检测软件</w:t>
      </w:r>
      <w:r>
        <w:rPr>
          <w:rFonts w:ascii="Times New Roman" w:hAnsi="Times New Roman" w:cs="Times New Roman"/>
        </w:rPr>
        <w:t>著作权</w:t>
      </w:r>
      <w:r>
        <w:rPr>
          <w:rFonts w:hint="eastAsia"/>
          <w:lang w:val="en-US" w:eastAsia="zh-CN"/>
        </w:rPr>
        <w:t>1项；在精确分析结石成分的基础上对结石成分为无水尿酸的肾结石患者应用枸橼酸氢钾钠进行溶石治疗，取得显著疗效。</w:t>
      </w:r>
      <w:r>
        <w:t xml:space="preserve"> </w:t>
      </w:r>
    </w:p>
    <w:p>
      <w:pPr>
        <w:spacing w:before="120" w:line="276" w:lineRule="auto"/>
        <w:ind w:firstLine="482" w:firstLineChars="200"/>
        <w:jc w:val="both"/>
        <w:rPr>
          <w:rFonts w:hint="eastAsia" w:ascii="Times New Roman" w:hAnsi="Times New Roman" w:eastAsia="宋体" w:cs="Times New Roman"/>
          <w:lang w:eastAsia="zh-CN"/>
        </w:rPr>
      </w:pPr>
      <w:r>
        <w:rPr>
          <w:rFonts w:hint="eastAsia" w:ascii="Times New Roman" w:hAnsi="Times New Roman" w:cs="Times New Roman"/>
          <w:b/>
          <w:lang w:val="en-US" w:eastAsia="zh-CN"/>
        </w:rPr>
        <w:t>5</w:t>
      </w:r>
      <w:r>
        <w:rPr>
          <w:rFonts w:ascii="Times New Roman" w:hAnsi="Times New Roman" w:cs="Times New Roman"/>
          <w:b/>
        </w:rPr>
        <w:t xml:space="preserve">. </w:t>
      </w:r>
      <w:r>
        <w:rPr>
          <w:rFonts w:hint="eastAsia" w:ascii="Times New Roman" w:hAnsi="Times New Roman" w:cs="Times New Roman"/>
          <w:b/>
          <w:lang w:val="en-US" w:eastAsia="zh-CN"/>
        </w:rPr>
        <w:t>采用线上线下结合的方式向人民群众宣传结石防治知识，实现结石预防关口前移</w:t>
      </w:r>
      <w:r>
        <w:rPr>
          <w:rFonts w:ascii="Times New Roman" w:hAnsi="Times New Roman" w:cs="Times New Roman"/>
          <w:b/>
        </w:rPr>
        <w:t>。</w:t>
      </w:r>
      <w:r>
        <w:rPr>
          <w:rFonts w:ascii="宋体" w:hAnsi="宋体"/>
          <w:szCs w:val="21"/>
        </w:rPr>
        <w:t>在疫情常态防控化期间，通过科普知识普及及科普微视频制作，</w:t>
      </w:r>
      <w:r>
        <w:rPr>
          <w:rFonts w:hint="eastAsia"/>
          <w:szCs w:val="21"/>
          <w:lang w:val="en-US" w:eastAsia="zh-CN"/>
        </w:rPr>
        <w:t>采用</w:t>
      </w:r>
      <w:r>
        <w:rPr>
          <w:rFonts w:ascii="宋体" w:hAnsi="宋体"/>
          <w:szCs w:val="21"/>
        </w:rPr>
        <w:t>线上及线下结合</w:t>
      </w:r>
      <w:r>
        <w:rPr>
          <w:rFonts w:hint="eastAsia"/>
          <w:szCs w:val="21"/>
          <w:lang w:val="en-US" w:eastAsia="zh-CN"/>
        </w:rPr>
        <w:t>的方式，</w:t>
      </w:r>
      <w:r>
        <w:rPr>
          <w:rFonts w:ascii="宋体" w:hAnsi="宋体"/>
          <w:szCs w:val="21"/>
        </w:rPr>
        <w:t>联合天津市周边区县进行科普推广，在推动分级诊疗发展的国家战略下，带动天津地区泌尿系结石诊治水平的提高，通过</w:t>
      </w:r>
      <w:r>
        <w:rPr>
          <w:rFonts w:hint="eastAsia" w:ascii="宋体" w:hAnsi="宋体"/>
          <w:szCs w:val="21"/>
          <w:lang w:eastAsia="zh-CN"/>
        </w:rPr>
        <w:t>对</w:t>
      </w:r>
      <w:r>
        <w:rPr>
          <w:rFonts w:ascii="宋体" w:hAnsi="宋体"/>
          <w:szCs w:val="21"/>
        </w:rPr>
        <w:t>泌尿系结石</w:t>
      </w:r>
      <w:r>
        <w:rPr>
          <w:rFonts w:hint="eastAsia"/>
          <w:szCs w:val="21"/>
          <w:lang w:val="en-US" w:eastAsia="zh-CN"/>
        </w:rPr>
        <w:t>防治</w:t>
      </w:r>
      <w:r>
        <w:rPr>
          <w:rFonts w:ascii="宋体" w:hAnsi="宋体"/>
          <w:szCs w:val="21"/>
        </w:rPr>
        <w:t>知识的科普宣传，提高人民群众对于</w:t>
      </w:r>
      <w:r>
        <w:rPr>
          <w:rFonts w:hint="eastAsia"/>
          <w:szCs w:val="21"/>
          <w:lang w:val="en-US" w:eastAsia="zh-CN"/>
        </w:rPr>
        <w:t>预防</w:t>
      </w:r>
      <w:r>
        <w:rPr>
          <w:rFonts w:ascii="宋体" w:hAnsi="宋体"/>
          <w:szCs w:val="21"/>
        </w:rPr>
        <w:t>泌尿系结石知识的了解，降低泌尿系结石的发病</w:t>
      </w:r>
      <w:r>
        <w:rPr>
          <w:rFonts w:hint="eastAsia"/>
          <w:szCs w:val="21"/>
          <w:lang w:eastAsia="zh-CN"/>
        </w:rPr>
        <w:t>。</w:t>
      </w:r>
    </w:p>
    <w:p>
      <w:pPr>
        <w:spacing w:before="120" w:line="276" w:lineRule="auto"/>
        <w:ind w:firstLine="480" w:firstLineChars="200"/>
        <w:jc w:val="both"/>
        <w:rPr>
          <w:rFonts w:ascii="Times New Roman" w:hAnsi="Times New Roman" w:cs="Times New Roman"/>
        </w:rPr>
      </w:pPr>
    </w:p>
    <w:p>
      <w:pPr>
        <w:spacing w:before="120" w:line="276" w:lineRule="auto"/>
        <w:ind w:firstLine="480" w:firstLineChars="200"/>
        <w:jc w:val="both"/>
        <w:rPr>
          <w:rFonts w:cs="Times New Roman"/>
          <w:kern w:val="2"/>
          <w:szCs w:val="22"/>
        </w:rPr>
      </w:pPr>
      <w:r>
        <w:rPr>
          <w:rFonts w:ascii="Times New Roman" w:hAnsi="Times New Roman" w:cs="Times New Roman"/>
        </w:rPr>
        <w:t>项目成果在</w:t>
      </w:r>
      <w:r>
        <w:rPr>
          <w:rFonts w:hint="default" w:ascii="Times New Roman" w:hAnsi="Times New Roman"/>
        </w:rPr>
        <w:t>Urolithiasis</w:t>
      </w:r>
      <w:r>
        <w:rPr>
          <w:rFonts w:ascii="Times New Roman" w:hAnsi="Times New Roman" w:cs="Times New Roman"/>
        </w:rPr>
        <w:t>等权威杂志发表SCI论文</w:t>
      </w:r>
      <w:r>
        <w:rPr>
          <w:rFonts w:hint="eastAsia" w:ascii="Times New Roman" w:hAnsi="Times New Roman" w:cs="Times New Roman"/>
          <w:lang w:val="en-US" w:eastAsia="zh-CN"/>
        </w:rPr>
        <w:t>9</w:t>
      </w:r>
      <w:r>
        <w:rPr>
          <w:rFonts w:ascii="Times New Roman" w:hAnsi="Times New Roman" w:cs="Times New Roman"/>
        </w:rPr>
        <w:t>篇，中华系列期刊论文</w:t>
      </w:r>
      <w:r>
        <w:rPr>
          <w:rFonts w:hint="eastAsia" w:ascii="Times New Roman" w:hAnsi="Times New Roman" w:cs="Times New Roman"/>
          <w:lang w:val="en-US" w:eastAsia="zh-CN"/>
        </w:rPr>
        <w:t>2</w:t>
      </w:r>
      <w:r>
        <w:rPr>
          <w:rFonts w:ascii="Times New Roman" w:hAnsi="Times New Roman" w:cs="Times New Roman"/>
        </w:rPr>
        <w:t>篇；</w:t>
      </w:r>
      <w:r>
        <w:rPr>
          <w:rFonts w:hint="eastAsia" w:ascii="Times New Roman" w:hAnsi="Times New Roman" w:cs="Times New Roman"/>
          <w:lang w:val="en-US" w:eastAsia="zh-CN"/>
        </w:rPr>
        <w:t>获批实用新型专利</w:t>
      </w:r>
      <w:r>
        <w:rPr>
          <w:rFonts w:hint="eastAsia" w:ascii="Times New Roman" w:hAnsi="Times New Roman" w:cs="Times New Roman"/>
          <w:color w:val="0000FF"/>
          <w:lang w:val="en-US" w:eastAsia="zh-CN"/>
        </w:rPr>
        <w:t>2</w:t>
      </w:r>
      <w:r>
        <w:rPr>
          <w:rFonts w:ascii="Times New Roman" w:hAnsi="Times New Roman" w:cs="Times New Roman"/>
        </w:rPr>
        <w:t>项，软件著作权</w:t>
      </w:r>
      <w:r>
        <w:rPr>
          <w:rFonts w:hint="eastAsia" w:ascii="Times New Roman" w:hAnsi="Times New Roman" w:cs="Times New Roman"/>
          <w:lang w:val="en-US" w:eastAsia="zh-CN"/>
        </w:rPr>
        <w:t>1</w:t>
      </w:r>
      <w:r>
        <w:rPr>
          <w:rFonts w:ascii="Times New Roman" w:hAnsi="Times New Roman" w:cs="Times New Roman"/>
        </w:rPr>
        <w:t>项</w:t>
      </w:r>
      <w:r>
        <w:rPr>
          <w:rFonts w:hint="eastAsia" w:ascii="Times New Roman" w:hAnsi="Times New Roman" w:cs="Times New Roman"/>
        </w:rPr>
        <w:t>；</w:t>
      </w:r>
      <w:r>
        <w:rPr>
          <w:rFonts w:ascii="Times New Roman" w:hAnsi="Times New Roman" w:cs="Times New Roman"/>
        </w:rPr>
        <w:t>培养进修医生、规范化培训及硕博士生1</w:t>
      </w:r>
      <w:r>
        <w:rPr>
          <w:rFonts w:hint="eastAsia" w:ascii="Times New Roman" w:hAnsi="Times New Roman" w:cs="Times New Roman"/>
          <w:lang w:val="en-US" w:eastAsia="zh-CN"/>
        </w:rPr>
        <w:t>2</w:t>
      </w:r>
      <w:r>
        <w:rPr>
          <w:rFonts w:ascii="Times New Roman" w:hAnsi="Times New Roman" w:cs="Times New Roman"/>
        </w:rPr>
        <w:t>名</w:t>
      </w:r>
      <w:r>
        <w:rPr>
          <w:rFonts w:hint="eastAsia" w:ascii="Times New Roman" w:hAnsi="Times New Roman" w:cs="Times New Roman"/>
        </w:rPr>
        <w:t>；</w:t>
      </w:r>
      <w:r>
        <w:rPr>
          <w:rFonts w:ascii="Times New Roman" w:hAnsi="Times New Roman" w:cs="Times New Roman"/>
        </w:rPr>
        <w:t>项目成果在国内外进行</w:t>
      </w:r>
      <w:r>
        <w:rPr>
          <w:rFonts w:hint="eastAsia" w:ascii="Times New Roman" w:hAnsi="Times New Roman" w:cs="Times New Roman"/>
          <w:lang w:val="en-US" w:eastAsia="zh-CN"/>
        </w:rPr>
        <w:t>60</w:t>
      </w:r>
      <w:r>
        <w:rPr>
          <w:rFonts w:ascii="Times New Roman" w:hAnsi="Times New Roman" w:cs="Times New Roman"/>
        </w:rPr>
        <w:t>余次专题交流，并在全国</w:t>
      </w:r>
      <w:r>
        <w:rPr>
          <w:rFonts w:hint="eastAsia" w:ascii="Times New Roman" w:hAnsi="Times New Roman" w:cs="Times New Roman"/>
          <w:color w:val="0000FF"/>
          <w:lang w:val="en-US" w:eastAsia="zh-CN"/>
        </w:rPr>
        <w:t>10</w:t>
      </w:r>
      <w:r>
        <w:rPr>
          <w:rFonts w:ascii="Times New Roman" w:hAnsi="Times New Roman" w:cs="Times New Roman"/>
        </w:rPr>
        <w:t>余家三甲及泌尿外科临床重点专科医院推广应用，提升了我国泌尿系</w:t>
      </w:r>
      <w:r>
        <w:rPr>
          <w:rFonts w:hint="eastAsia" w:ascii="Times New Roman" w:hAnsi="Times New Roman" w:cs="Times New Roman"/>
          <w:lang w:val="en-US" w:eastAsia="zh-CN"/>
        </w:rPr>
        <w:t>结石</w:t>
      </w:r>
      <w:r>
        <w:rPr>
          <w:rFonts w:ascii="Times New Roman" w:hAnsi="Times New Roman" w:cs="Times New Roman"/>
        </w:rPr>
        <w:t>的智能化精准诊疗水平，符合健康中国2030年发展纲要战略主题和核心。</w:t>
      </w:r>
    </w:p>
    <w:p>
      <w:pPr>
        <w:spacing w:line="360" w:lineRule="auto"/>
        <w:rPr>
          <w:rFonts w:ascii="Times New Roman" w:hAnsi="Times New Roman" w:cs="Times New Roman"/>
          <w:b/>
        </w:rPr>
      </w:pPr>
    </w:p>
    <w:p>
      <w:pPr>
        <w:spacing w:line="360" w:lineRule="auto"/>
        <w:rPr>
          <w:rFonts w:ascii="Times New Roman" w:hAnsi="Times New Roman" w:cs="Times New Roman"/>
          <w:b/>
        </w:rPr>
      </w:pPr>
      <w:r>
        <w:rPr>
          <w:rFonts w:hint="eastAsia" w:ascii="Times New Roman" w:hAnsi="Times New Roman" w:cs="Times New Roman"/>
          <w:b/>
        </w:rPr>
        <w:t>主要技术支撑材料：</w:t>
      </w:r>
      <w:r>
        <w:rPr>
          <w:rFonts w:ascii="Times New Roman" w:hAnsi="Times New Roman" w:cs="Times New Roman"/>
          <w:b/>
        </w:rPr>
        <w:t>8</w:t>
      </w:r>
      <w:r>
        <w:rPr>
          <w:rFonts w:hint="eastAsia" w:ascii="Times New Roman" w:hAnsi="Times New Roman" w:cs="Times New Roman"/>
          <w:b/>
        </w:rPr>
        <w:t>篇代表性论文</w:t>
      </w:r>
    </w:p>
    <w:p>
      <w:pPr>
        <w:spacing w:line="360" w:lineRule="auto"/>
        <w:rPr>
          <w:rFonts w:ascii="Times New Roman" w:hAnsi="Times New Roman" w:cs="Times New Roman"/>
        </w:rPr>
      </w:pPr>
      <w:r>
        <w:rPr>
          <w:rFonts w:hint="eastAsia" w:ascii="Times New Roman" w:hAnsi="Times New Roman" w:cs="Times New Roman"/>
        </w:rPr>
        <w:t>代表性论文</w:t>
      </w:r>
    </w:p>
    <w:p>
      <w:pPr>
        <w:spacing w:line="360" w:lineRule="auto"/>
        <w:jc w:val="both"/>
        <w:rPr>
          <w:rFonts w:ascii="Times New Roman" w:hAnsi="Times New Roman"/>
        </w:rPr>
      </w:pPr>
      <w:bookmarkStart w:id="0" w:name="_Hlk110887919"/>
      <w:r>
        <w:rPr>
          <w:rFonts w:ascii="Times New Roman" w:hAnsi="Times New Roman"/>
        </w:rPr>
        <w:t>[1]Fu Q, Xie L, Diao C, Aizezi X, Liu X, Liu C. The impacts of metabolic syndrome on the risk of severe urolithiasis.</w:t>
      </w:r>
      <w:r>
        <w:rPr>
          <w:rFonts w:hint="default" w:ascii="Times New Roman" w:hAnsi="Times New Roman"/>
        </w:rPr>
        <w:t xml:space="preserve"> Urolithiasis. 2022;50(4):423-430. </w:t>
      </w:r>
    </w:p>
    <w:p>
      <w:pPr>
        <w:spacing w:line="360" w:lineRule="auto"/>
        <w:jc w:val="both"/>
        <w:rPr>
          <w:rFonts w:ascii="Times New Roman" w:hAnsi="Times New Roman"/>
        </w:rPr>
      </w:pPr>
      <w:r>
        <w:rPr>
          <w:rFonts w:ascii="Times New Roman" w:hAnsi="Times New Roman"/>
        </w:rPr>
        <w:t>[2] Xie H, Wang R, Xie L, Wang X, Liu C. Study on the pathogenesis and prevention strategies of kidney stones based on GC-MS combined with metabolic pathway analysis.</w:t>
      </w:r>
      <w:r>
        <w:rPr>
          <w:rFonts w:hint="default" w:ascii="Times New Roman" w:hAnsi="Times New Roman"/>
        </w:rPr>
        <w:t> Rapid Commun Mass Spectrom. 2022;36(22):e9387.</w:t>
      </w:r>
    </w:p>
    <w:p>
      <w:pPr>
        <w:spacing w:line="360" w:lineRule="auto"/>
        <w:jc w:val="both"/>
        <w:rPr>
          <w:rFonts w:hint="default" w:ascii="Times New Roman" w:hAnsi="Times New Roman"/>
        </w:rPr>
      </w:pPr>
      <w:r>
        <w:rPr>
          <w:rFonts w:ascii="Times New Roman" w:hAnsi="Times New Roman"/>
        </w:rPr>
        <w:t xml:space="preserve">[3] </w:t>
      </w:r>
      <w:r>
        <w:rPr>
          <w:rFonts w:ascii="Times New Roman" w:hAnsi="Times New Roman"/>
        </w:rPr>
        <w:fldChar w:fldCharType="begin"/>
      </w:r>
      <w:r>
        <w:rPr>
          <w:rFonts w:ascii="Times New Roman" w:hAnsi="Times New Roman"/>
        </w:rPr>
        <w:instrText xml:space="preserve"> HYPERLINK "https://www.webofscience.com/wos/author/record/34834509" </w:instrText>
      </w:r>
      <w:r>
        <w:rPr>
          <w:rFonts w:ascii="Times New Roman" w:hAnsi="Times New Roman"/>
        </w:rPr>
        <w:fldChar w:fldCharType="separate"/>
      </w:r>
      <w:r>
        <w:rPr>
          <w:rFonts w:hint="default" w:ascii="Times New Roman" w:hAnsi="Times New Roman"/>
          <w:lang w:val="en-US"/>
        </w:rPr>
        <w:t>Wang R</w:t>
      </w:r>
      <w:r>
        <w:rPr>
          <w:rFonts w:hint="default" w:ascii="Times New Roman" w:hAnsi="Times New Roman"/>
        </w:rPr>
        <w:fldChar w:fldCharType="end"/>
      </w:r>
      <w:r>
        <w:rPr>
          <w:rFonts w:hint="eastAsia" w:ascii="Times New Roman" w:hAnsi="Times New Roman"/>
          <w:lang w:val="en-US" w:eastAsia="zh-CN"/>
        </w:rPr>
        <w:t xml:space="preserve">, Xie L, </w:t>
      </w:r>
      <w:r>
        <w:rPr>
          <w:rFonts w:hint="default" w:ascii="Times New Roman" w:hAnsi="Times New Roman"/>
        </w:rPr>
        <w:fldChar w:fldCharType="begin"/>
      </w:r>
      <w:r>
        <w:rPr>
          <w:rFonts w:hint="default" w:ascii="Times New Roman" w:hAnsi="Times New Roman"/>
        </w:rPr>
        <w:instrText xml:space="preserve"> HYPERLINK "https://www.webofscience.com/wos/author/record/34577541" </w:instrText>
      </w:r>
      <w:r>
        <w:rPr>
          <w:rFonts w:hint="default" w:ascii="Times New Roman" w:hAnsi="Times New Roman"/>
        </w:rPr>
        <w:fldChar w:fldCharType="separate"/>
      </w:r>
      <w:r>
        <w:rPr>
          <w:rFonts w:hint="default" w:ascii="Times New Roman" w:hAnsi="Times New Roman"/>
          <w:lang w:val="en-US"/>
        </w:rPr>
        <w:t>Zhang J</w:t>
      </w:r>
      <w:r>
        <w:rPr>
          <w:rFonts w:hint="default" w:ascii="Times New Roman" w:hAnsi="Times New Roman"/>
        </w:rPr>
        <w:fldChar w:fldCharType="end"/>
      </w:r>
      <w:r>
        <w:rPr>
          <w:rFonts w:hint="eastAsia" w:ascii="Times New Roman" w:hAnsi="Times New Roman"/>
          <w:lang w:val="en-US" w:eastAsia="zh-CN"/>
        </w:rPr>
        <w:t>,</w:t>
      </w:r>
      <w:r>
        <w:rPr>
          <w:rFonts w:hint="default" w:ascii="Times New Roman" w:hAnsi="Times New Roman"/>
        </w:rPr>
        <w:t> </w:t>
      </w:r>
      <w:r>
        <w:rPr>
          <w:rFonts w:hint="default" w:ascii="Times New Roman" w:hAnsi="Times New Roman"/>
        </w:rPr>
        <w:fldChar w:fldCharType="begin"/>
      </w:r>
      <w:r>
        <w:rPr>
          <w:rFonts w:hint="default" w:ascii="Times New Roman" w:hAnsi="Times New Roman"/>
        </w:rPr>
        <w:instrText xml:space="preserve"> HYPERLINK "https://www.webofscience.com/wos/author/record/25580606" </w:instrText>
      </w:r>
      <w:r>
        <w:rPr>
          <w:rFonts w:hint="default" w:ascii="Times New Roman" w:hAnsi="Times New Roman"/>
        </w:rPr>
        <w:fldChar w:fldCharType="separate"/>
      </w:r>
      <w:r>
        <w:rPr>
          <w:rFonts w:hint="default" w:ascii="Times New Roman" w:hAnsi="Times New Roman"/>
          <w:lang w:val="en-US"/>
        </w:rPr>
        <w:t>Li J</w:t>
      </w:r>
      <w:r>
        <w:rPr>
          <w:rFonts w:hint="default" w:ascii="Times New Roman" w:hAnsi="Times New Roman"/>
        </w:rPr>
        <w:fldChar w:fldCharType="end"/>
      </w:r>
      <w:r>
        <w:rPr>
          <w:rFonts w:hint="eastAsia" w:ascii="Times New Roman" w:hAnsi="Times New Roman"/>
          <w:lang w:val="en-US" w:eastAsia="zh-CN"/>
        </w:rPr>
        <w:t xml:space="preserve">, Xie H, </w:t>
      </w:r>
      <w:r>
        <w:rPr>
          <w:rFonts w:hint="default" w:ascii="Times New Roman" w:hAnsi="Times New Roman"/>
        </w:rPr>
        <w:fldChar w:fldCharType="begin"/>
      </w:r>
      <w:r>
        <w:rPr>
          <w:rFonts w:hint="default" w:ascii="Times New Roman" w:hAnsi="Times New Roman"/>
        </w:rPr>
        <w:instrText xml:space="preserve"> HYPERLINK "https://www.webofscience.com/wos/author/record/38396167" </w:instrText>
      </w:r>
      <w:r>
        <w:rPr>
          <w:rFonts w:hint="default" w:ascii="Times New Roman" w:hAnsi="Times New Roman"/>
        </w:rPr>
        <w:fldChar w:fldCharType="separate"/>
      </w:r>
      <w:r>
        <w:rPr>
          <w:rFonts w:hint="default" w:ascii="Times New Roman" w:hAnsi="Times New Roman"/>
          <w:lang w:val="en-US"/>
        </w:rPr>
        <w:t>Yang Y</w:t>
      </w:r>
      <w:r>
        <w:rPr>
          <w:rFonts w:hint="default" w:ascii="Times New Roman" w:hAnsi="Times New Roman"/>
        </w:rPr>
        <w:fldChar w:fldCharType="end"/>
      </w:r>
      <w:r>
        <w:rPr>
          <w:rFonts w:hint="eastAsia" w:ascii="Times New Roman" w:hAnsi="Times New Roman"/>
          <w:lang w:val="en-US" w:eastAsia="zh-CN"/>
        </w:rPr>
        <w:t>, Ren H</w:t>
      </w:r>
      <w:r>
        <w:rPr>
          <w:rFonts w:hint="default" w:ascii="Times New Roman" w:hAnsi="Times New Roman"/>
          <w:lang w:val="en-US"/>
        </w:rPr>
        <w:t xml:space="preserve">, </w:t>
      </w:r>
      <w:r>
        <w:rPr>
          <w:rFonts w:hint="default" w:ascii="Times New Roman" w:hAnsi="Times New Roman"/>
        </w:rPr>
        <w:fldChar w:fldCharType="begin"/>
      </w:r>
      <w:r>
        <w:rPr>
          <w:rFonts w:hint="default" w:ascii="Times New Roman" w:hAnsi="Times New Roman"/>
        </w:rPr>
        <w:instrText xml:space="preserve"> HYPERLINK "https://www.webofscience.com/wos/author/record/2315993" </w:instrText>
      </w:r>
      <w:r>
        <w:rPr>
          <w:rFonts w:hint="default" w:ascii="Times New Roman" w:hAnsi="Times New Roman"/>
        </w:rPr>
        <w:fldChar w:fldCharType="separate"/>
      </w:r>
      <w:r>
        <w:rPr>
          <w:rFonts w:hint="default" w:ascii="Times New Roman" w:hAnsi="Times New Roman"/>
          <w:lang w:val="en-US"/>
        </w:rPr>
        <w:t>Shang Z</w:t>
      </w:r>
      <w:r>
        <w:rPr>
          <w:rFonts w:hint="default" w:ascii="Times New Roman" w:hAnsi="Times New Roman"/>
        </w:rPr>
        <w:fldChar w:fldCharType="end"/>
      </w:r>
      <w:r>
        <w:rPr>
          <w:rFonts w:hint="eastAsia" w:ascii="Times New Roman" w:hAnsi="Times New Roman"/>
          <w:lang w:val="en-US" w:eastAsia="zh-CN"/>
        </w:rPr>
        <w:t>,</w:t>
      </w:r>
      <w:r>
        <w:rPr>
          <w:rFonts w:hint="default" w:ascii="Times New Roman" w:hAnsi="Times New Roman"/>
        </w:rPr>
        <w:t> </w:t>
      </w:r>
      <w:r>
        <w:rPr>
          <w:rFonts w:hint="default" w:ascii="Times New Roman" w:hAnsi="Times New Roman"/>
        </w:rPr>
        <w:fldChar w:fldCharType="begin"/>
      </w:r>
      <w:r>
        <w:rPr>
          <w:rFonts w:hint="default" w:ascii="Times New Roman" w:hAnsi="Times New Roman"/>
        </w:rPr>
        <w:instrText xml:space="preserve"> HYPERLINK "https://www.webofscience.com/wos/author/record/34626292" </w:instrText>
      </w:r>
      <w:r>
        <w:rPr>
          <w:rFonts w:hint="default" w:ascii="Times New Roman" w:hAnsi="Times New Roman"/>
        </w:rPr>
        <w:fldChar w:fldCharType="separate"/>
      </w:r>
      <w:r>
        <w:rPr>
          <w:rFonts w:hint="default" w:ascii="Times New Roman" w:hAnsi="Times New Roman"/>
          <w:lang w:val="en-US"/>
        </w:rPr>
        <w:t>Liu C</w:t>
      </w:r>
      <w:r>
        <w:rPr>
          <w:rFonts w:hint="default" w:ascii="Times New Roman" w:hAnsi="Times New Roman"/>
        </w:rPr>
        <w:fldChar w:fldCharType="end"/>
      </w:r>
      <w:r>
        <w:rPr>
          <w:rFonts w:hint="eastAsia" w:ascii="Times New Roman" w:hAnsi="Times New Roman"/>
          <w:lang w:val="en-US" w:eastAsia="zh-CN"/>
        </w:rPr>
        <w:t>. Characterization of the Metabolites and Construction of a Novel Diagnostic Panel in Calcium Oxalate Urolithiasis by Electrospray Ionization – Mass Spectrometry (ESI-MS) Metabolomics. Analytical Letters. 2022;55(12):1997-2010.</w:t>
      </w:r>
      <w:r>
        <w:rPr>
          <w:rFonts w:hint="default" w:ascii="Times New Roman" w:hAnsi="Times New Roman"/>
        </w:rPr>
        <w:t> </w:t>
      </w:r>
    </w:p>
    <w:p>
      <w:pPr>
        <w:spacing w:line="360" w:lineRule="auto"/>
        <w:jc w:val="both"/>
        <w:rPr>
          <w:rFonts w:ascii="Times New Roman" w:hAnsi="Times New Roman"/>
        </w:rPr>
      </w:pPr>
      <w:r>
        <w:rPr>
          <w:rFonts w:ascii="Times New Roman" w:hAnsi="Times New Roman"/>
        </w:rPr>
        <w:t>[4] 谢林国</w:t>
      </w:r>
      <w:r>
        <w:rPr>
          <w:rFonts w:hint="eastAsia" w:ascii="Times New Roman" w:hAnsi="Times New Roman"/>
          <w:lang w:val="en-US" w:eastAsia="zh-CN"/>
        </w:rPr>
        <w:t>;</w:t>
      </w:r>
      <w:r>
        <w:rPr>
          <w:rFonts w:ascii="Times New Roman" w:hAnsi="Times New Roman"/>
        </w:rPr>
        <w:t>黄俊凯</w:t>
      </w:r>
      <w:r>
        <w:rPr>
          <w:rFonts w:hint="eastAsia" w:ascii="Times New Roman" w:hAnsi="Times New Roman"/>
          <w:lang w:val="en-US" w:eastAsia="zh-CN"/>
        </w:rPr>
        <w:t>;</w:t>
      </w:r>
      <w:r>
        <w:rPr>
          <w:rFonts w:ascii="Times New Roman" w:hAnsi="Times New Roman"/>
        </w:rPr>
        <w:t>杨宇</w:t>
      </w:r>
      <w:r>
        <w:rPr>
          <w:rFonts w:hint="eastAsia" w:ascii="Times New Roman" w:hAnsi="Times New Roman"/>
          <w:lang w:val="en-US" w:eastAsia="zh-CN"/>
        </w:rPr>
        <w:t>;孙冲;权昌益;刘春雨</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mPCNL术后早期血清白蛋白水平对术后尿源性脓毒症的预测价值. 中华泌尿外科杂志,2021,42(10):773-777</w:t>
      </w:r>
    </w:p>
    <w:p>
      <w:pPr>
        <w:spacing w:line="360" w:lineRule="auto"/>
        <w:jc w:val="both"/>
        <w:rPr>
          <w:rFonts w:ascii="Times New Roman" w:hAnsi="Times New Roman"/>
        </w:rPr>
      </w:pPr>
      <w:r>
        <w:rPr>
          <w:rFonts w:ascii="Times New Roman" w:hAnsi="Times New Roman"/>
        </w:rPr>
        <w:t>[5] 谢林国</w:t>
      </w:r>
      <w:r>
        <w:rPr>
          <w:rFonts w:hint="eastAsia" w:ascii="Times New Roman" w:hAnsi="Times New Roman"/>
          <w:lang w:val="en-US" w:eastAsia="zh-CN"/>
        </w:rPr>
        <w:t>;</w:t>
      </w:r>
      <w:r>
        <w:rPr>
          <w:rFonts w:ascii="Times New Roman" w:hAnsi="Times New Roman"/>
        </w:rPr>
        <w:t>解海杰</w:t>
      </w:r>
      <w:r>
        <w:rPr>
          <w:rFonts w:hint="eastAsia" w:ascii="Times New Roman" w:hAnsi="Times New Roman"/>
          <w:lang w:val="en-US" w:eastAsia="zh-CN"/>
        </w:rPr>
        <w:t>;</w:t>
      </w:r>
      <w:r>
        <w:rPr>
          <w:rFonts w:ascii="Times New Roman" w:hAnsi="Times New Roman"/>
        </w:rPr>
        <w:t>杨雄</w:t>
      </w:r>
      <w:r>
        <w:rPr>
          <w:rFonts w:hint="eastAsia" w:ascii="Times New Roman" w:hAnsi="Times New Roman"/>
          <w:lang w:val="en-US" w:eastAsia="zh-CN"/>
        </w:rPr>
        <w:t>;李桂来；刘春雨</w:t>
      </w:r>
      <w:r>
        <w:rPr>
          <w:rFonts w:ascii="Times New Roman" w:hAnsi="Times New Roman"/>
        </w:rPr>
        <w:t>. 枸橼酸氢钾钠在大负荷肾尿酸结石治疗中的应用(附6例报告并文献复习). 中华泌尿外科杂志,2021,42(1):33-37.</w:t>
      </w:r>
      <w:r>
        <w:rPr>
          <w:rFonts w:hint="eastAsia" w:ascii="Times New Roman" w:hAnsi="Times New Roman"/>
        </w:rPr>
        <w:t> </w:t>
      </w:r>
    </w:p>
    <w:p>
      <w:pPr>
        <w:spacing w:line="360" w:lineRule="auto"/>
        <w:jc w:val="both"/>
        <w:rPr>
          <w:rFonts w:ascii="Times New Roman" w:hAnsi="Times New Roman" w:cs="Times New Roman"/>
        </w:rPr>
      </w:pPr>
      <w:r>
        <w:rPr>
          <w:rFonts w:ascii="Times New Roman" w:hAnsi="Times New Roman" w:cs="Times New Roman"/>
        </w:rPr>
        <w:t>[6] Huang J, Xie L, Yang Y, Xie H, Liu C. Hypoalbuminemia within One Hour After Surgery as a Predictor of Post-Operative Urosepsis in Patients Undergoing Flexible Ureteroscopy Lithotripsy: A Retrospective Study.</w:t>
      </w:r>
      <w:r>
        <w:rPr>
          <w:rFonts w:hint="default" w:ascii="Times New Roman" w:hAnsi="Times New Roman" w:cs="Times New Roman"/>
        </w:rPr>
        <w:t> Surg Infect (Larchmt). 2023;24(1):75-81</w:t>
      </w:r>
      <w:r>
        <w:rPr>
          <w:rFonts w:ascii="Times New Roman" w:hAnsi="Times New Roman" w:cs="Times New Roman"/>
        </w:rPr>
        <w:t>.</w:t>
      </w:r>
      <w:r>
        <w:rPr>
          <w:rFonts w:hint="eastAsia" w:ascii="Times New Roman" w:hAnsi="Times New Roman" w:cs="Times New Roman"/>
        </w:rPr>
        <w:t> </w:t>
      </w:r>
    </w:p>
    <w:p>
      <w:pPr>
        <w:spacing w:line="360" w:lineRule="auto"/>
        <w:jc w:val="both"/>
        <w:rPr>
          <w:rFonts w:ascii="Times New Roman" w:hAnsi="Times New Roman" w:cs="Times New Roman"/>
        </w:rPr>
      </w:pPr>
      <w:r>
        <w:rPr>
          <w:rFonts w:ascii="Times New Roman" w:hAnsi="Times New Roman" w:cs="Times New Roman"/>
        </w:rPr>
        <w:t>[7] Zhang B, Xie H, Hu Y, Liu C. The visual percutaneous nephrolithotomy versus the conventional percutaneous nephrolithotomy in treatment for renal stone.</w:t>
      </w:r>
      <w:r>
        <w:rPr>
          <w:rFonts w:hint="default" w:ascii="Times New Roman" w:hAnsi="Times New Roman" w:cs="Times New Roman"/>
        </w:rPr>
        <w:t> Minerva Urol Nefrol. 2019;71(6):627-635</w:t>
      </w:r>
      <w:r>
        <w:rPr>
          <w:rFonts w:hint="eastAsia" w:ascii="Times New Roman" w:hAnsi="Times New Roman" w:cs="Times New Roman"/>
        </w:rPr>
        <w:t>.</w:t>
      </w:r>
    </w:p>
    <w:p>
      <w:pPr>
        <w:spacing w:line="360" w:lineRule="auto"/>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rPr>
        <w:t xml:space="preserve"> </w:t>
      </w:r>
      <w:bookmarkEnd w:id="0"/>
      <w:r>
        <w:rPr>
          <w:rFonts w:hint="eastAsia" w:ascii="Times New Roman" w:hAnsi="Times New Roman"/>
          <w:lang w:val="en-US" w:eastAsia="zh-CN"/>
        </w:rPr>
        <w:t>Yang X, Yang T, Li J, et al. Metformin prevents nephrolithiasis formation by inhibiting the expression of OPN and MCP-1 in vitro and in vivo. Int J Mol Med. 2019;43(4):1611-1622.</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STSongStd-Light-UniGB-UCS2-H">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452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qForma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style>
  <w:style w:type="character" w:styleId="7">
    <w:name w:val="Hyperlink"/>
    <w:basedOn w:val="6"/>
    <w:qFormat/>
    <w:uiPriority w:val="99"/>
    <w:rPr>
      <w:color w:val="0000FF"/>
      <w:u w:val="single"/>
    </w:rPr>
  </w:style>
  <w:style w:type="paragraph" w:styleId="8">
    <w:name w:val="List Paragraph"/>
    <w:basedOn w:val="1"/>
    <w:qFormat/>
    <w:uiPriority w:val="99"/>
    <w:pPr>
      <w:widowControl w:val="0"/>
      <w:ind w:firstLine="420" w:firstLineChars="200"/>
      <w:jc w:val="both"/>
    </w:pPr>
    <w:rPr>
      <w:rFonts w:ascii="??" w:hAnsi="??" w:cs="Times New Roman"/>
      <w:kern w:val="2"/>
      <w:sz w:val="21"/>
    </w:rPr>
  </w:style>
  <w:style w:type="character" w:customStyle="1" w:styleId="9">
    <w:name w:val="页眉 Char"/>
    <w:basedOn w:val="6"/>
    <w:link w:val="3"/>
    <w:qFormat/>
    <w:uiPriority w:val="99"/>
    <w:rPr>
      <w:rFonts w:ascii="宋体" w:hAnsi="宋体" w:cs="宋体"/>
      <w:kern w:val="0"/>
      <w:sz w:val="18"/>
      <w:szCs w:val="18"/>
    </w:rPr>
  </w:style>
  <w:style w:type="character" w:customStyle="1" w:styleId="10">
    <w:name w:val="页脚 Char"/>
    <w:basedOn w:val="6"/>
    <w:link w:val="2"/>
    <w:qFormat/>
    <w:uiPriority w:val="99"/>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1886</Words>
  <Characters>2867</Characters>
  <Paragraphs>26</Paragraphs>
  <TotalTime>23</TotalTime>
  <ScaleCrop>false</ScaleCrop>
  <LinksUpToDate>false</LinksUpToDate>
  <CharactersWithSpaces>3078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2022-08-29T00:23:00Z</dcterms:created>
  <dc:creator>春蕊 杨</dc:creator>
  <cp:lastModifiedBy>萧遥</cp:lastModifiedBy>
  <dcterms:modified xsi:type="dcterms:W3CDTF">2023-08-04T08:59:13Z</dcterms:modified>
  <dc:title>项目名称：抑郁症的新型标记物ELISA检测及临床应用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7324D18F060F4EEDB4A7D611905A7C39_13</vt:lpwstr>
  </property>
</Properties>
</file>