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outlineLvl w:val="3"/>
      </w:pPr>
      <w:bookmarkStart w:id="0" w:name="_Toc97121222"/>
      <w:r>
        <w:rPr>
          <w:rFonts w:ascii="方正仿宋_GBK" w:hAnsi="方正仿宋_GBK" w:eastAsia="方正仿宋_GBK" w:cs="方正仿宋_GBK"/>
          <w:color w:val="000000"/>
          <w:sz w:val="28"/>
        </w:rPr>
        <w:t>233.公立医院诊疗服务能力提升（临床重点学科建设）绩效目标表</w:t>
      </w:r>
      <w:bookmarkEnd w:id="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公立医院诊疗服务能力提升（临床重点学科建设）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150.00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150.00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打造重点学科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1.打造重点学科绩效考核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人才培养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培养3名博士 十名硕士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≥13人次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科研能力产出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提升10%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MRI\ct预约时间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预约等待时间小于48小时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学科建设总投入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300万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开展影像门诊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年平均提升10%检测量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团队满意度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.95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97121223"/>
      <w:r>
        <w:rPr>
          <w:rFonts w:ascii="方正仿宋_GBK" w:hAnsi="方正仿宋_GBK" w:eastAsia="方正仿宋_GBK" w:cs="方正仿宋_GBK"/>
          <w:color w:val="000000"/>
          <w:sz w:val="28"/>
        </w:rPr>
        <w:t>234.公立医院诊疗服务能力提升（临床重点专科建设）绩效目标表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公立医院诊疗服务能力提升（临床重点专科建设）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500.00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提升学科科研能力。打造国家重点学科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1.提升学科科研能力。打造国家重点学科绩效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开展新技术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5项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研究所科研能力提升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.1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项目执行率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学科建设投入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500万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500万元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危重症救治能力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年平均提升10%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团队满意度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97121224"/>
      <w:r>
        <w:rPr>
          <w:rFonts w:ascii="方正仿宋_GBK" w:hAnsi="方正仿宋_GBK" w:eastAsia="方正仿宋_GBK" w:cs="方正仿宋_GBK"/>
          <w:color w:val="000000"/>
          <w:sz w:val="28"/>
        </w:rPr>
        <w:t>235.公立医院综合改革-01中央直达资金-2022年医疗服务与保障能力提升补助资金绩效目标表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公立医院综合改革-01中央直达资金-2022年医疗服务与保障能力提升补助资金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公立医院改革设备购置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1.设备使用后考核指标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降低成本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控制数量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提高检测数量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缩短时间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减少等待时间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提高诊断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提高诊断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无排污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无排污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无排污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提高患者满意度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97121225"/>
      <w:r>
        <w:rPr>
          <w:rFonts w:ascii="方正仿宋_GBK" w:hAnsi="方正仿宋_GBK" w:eastAsia="方正仿宋_GBK" w:cs="方正仿宋_GBK"/>
          <w:color w:val="000000"/>
          <w:sz w:val="28"/>
        </w:rPr>
        <w:t>236.基本公共卫生服务（9元项目）绩效目标表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基本公共卫生服务（9元项目）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尘肺患者康复费用，尘肺宣传防治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1.尘肺患者康复费用，尘肺宣传防治绩效考核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《职业病防治法》宣传周活动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 次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职业病诊断医师等培训工作…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3 批次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≥1批次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职业病诊断医师等培训工作…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职业病诊断医师、职业健康管理人员素质显著提高 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≥50通过一年的培训，考核基层水平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支出成本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10万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职业病诊断医师等培训工作…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一年 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职业健康服务水平…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 xml:space="preserve">显著提高 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≥50通过一年的培训，考核基层水平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职业病人员满意度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.9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97121226"/>
      <w:r>
        <w:rPr>
          <w:rFonts w:ascii="方正仿宋_GBK" w:hAnsi="方正仿宋_GBK" w:eastAsia="方正仿宋_GBK" w:cs="方正仿宋_GBK"/>
          <w:color w:val="000000"/>
          <w:sz w:val="28"/>
        </w:rPr>
        <w:t>237.卫生健康对口帮扶（援疆援藏援甘等帮扶）绩效目标表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卫生健康对口帮扶（援疆援藏援甘等帮扶）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37.95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37.95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对口帮扶补贴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1.对口帮扶补贴绩效考核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派出人员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根据上级要求派出人员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帮扶工作开展率</w:t>
            </w:r>
          </w:p>
          <w:p>
            <w:pPr>
              <w:pStyle w:val="7"/>
            </w:pP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.7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≥70%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帮扶年度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2022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支出额度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37.95万元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37.95万元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帮扶程度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开展新技术1项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帮扶对象满意度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80%以上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97121227"/>
      <w:r>
        <w:rPr>
          <w:rFonts w:ascii="方正仿宋_GBK" w:hAnsi="方正仿宋_GBK" w:eastAsia="方正仿宋_GBK" w:cs="方正仿宋_GBK"/>
          <w:color w:val="000000"/>
          <w:sz w:val="28"/>
        </w:rPr>
        <w:t>238.卫生健康对口帮扶（援外医疗队）绩效目标表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卫生健康对口帮扶（援外医疗队）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8.20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8.20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援非医疗队生活补助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1.援非医疗队生活补助绩效考核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全年派出1人次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100%考核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通过国家卫生健康委队员资格审核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年内完成派出（轮换）任务并支出项目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按照预定成本执行，未出现项目资金浪费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助力中资机构人员和华人华侨等开展诊疗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援外医疗队队员开展工作顺利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100%考核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97121228"/>
      <w:r>
        <w:rPr>
          <w:rFonts w:ascii="方正仿宋_GBK" w:hAnsi="方正仿宋_GBK" w:eastAsia="方正仿宋_GBK" w:cs="方正仿宋_GBK"/>
          <w:color w:val="000000"/>
          <w:sz w:val="28"/>
        </w:rPr>
        <w:t>239.卫生健康人才培养（儿科医师队伍建设）绩效目标表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卫生健康人才培养（儿科医师队伍建设）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儿科医师队伍补贴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1.儿科医师队伍补贴绩效考核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足额发放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按规定发放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按时发放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不超额发放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稳定儿科医师队伍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儿科医师对补贴发放满意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97121229"/>
      <w:r>
        <w:rPr>
          <w:rFonts w:ascii="方正仿宋_GBK" w:hAnsi="方正仿宋_GBK" w:eastAsia="方正仿宋_GBK" w:cs="方正仿宋_GBK"/>
          <w:color w:val="000000"/>
          <w:sz w:val="28"/>
        </w:rPr>
        <w:t>240.卫生健康人才培养（住院医师规范化培训）绩效目标表</w:t>
      </w:r>
      <w:bookmarkEnd w:id="7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卫生健康人才培养（住院医师规范化培训）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170.00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170.00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规培人员补助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1.规培人员补助绩效考核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参加规培人员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126人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126人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大于85%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及时发放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考核后100%发放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控制支出成本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548万元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≤548万元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.9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大于等于90%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97121230"/>
      <w:r>
        <w:rPr>
          <w:rFonts w:ascii="方正仿宋_GBK" w:hAnsi="方正仿宋_GBK" w:eastAsia="方正仿宋_GBK" w:cs="方正仿宋_GBK"/>
          <w:color w:val="000000"/>
          <w:sz w:val="28"/>
        </w:rPr>
        <w:t>241.卫生健康综合管理与服务（质控中心专项经费）绩效目标表</w:t>
      </w:r>
      <w:bookmarkEnd w:id="8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卫生健康综合管理与服务（质控中心专项经费）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12.00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12.00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质控筛查经费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1.质控筛查经费绩效考核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血液净化质控中心开展质控活动（比如质控会议、培训、督导、质控指标收集分析等）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6次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≥6次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持续推进医疗质量质量安全改进目标项目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2个项目：肾性贫血；导管相关性感染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按期推进各项工作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经费使用率 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促进相关地方标准制定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1项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 xml:space="preserve">全市医疗机构血液透析中心对质控中心的服务评价 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97121231"/>
      <w:r>
        <w:rPr>
          <w:rFonts w:ascii="方正仿宋_GBK" w:hAnsi="方正仿宋_GBK" w:eastAsia="方正仿宋_GBK" w:cs="方正仿宋_GBK"/>
          <w:color w:val="000000"/>
          <w:sz w:val="28"/>
        </w:rPr>
        <w:t>242.新冠肺炎疫情防控（新冠病毒核酸检测“应检尽检”保障经费）绩效目标表</w:t>
      </w:r>
      <w:bookmarkEnd w:id="9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新冠肺炎疫情防控（新冠病毒核酸检测“应检尽检”保障经费）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核酸退费专项款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1.核酸退费绩效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核酸退费符合政策人群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核酸退费符合政策人群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≥26478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资金使用合规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资金使用合规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资金使用合规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退费工作如期完成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退费工作如期完成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如期完成，当年发生当年退费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落实核酸收费标准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落实核酸收费标准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检查核酸收费标准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落实国家政策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落实国家政策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去市覆盖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退费患者满意度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退费患者满意度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97121232"/>
      <w:r>
        <w:rPr>
          <w:rFonts w:ascii="方正仿宋_GBK" w:hAnsi="方正仿宋_GBK" w:eastAsia="方正仿宋_GBK" w:cs="方正仿宋_GBK"/>
          <w:color w:val="000000"/>
          <w:sz w:val="28"/>
        </w:rPr>
        <w:t>243.中医药事业传承与发展（中医中西医结合科研课题）绩效目标表</w:t>
      </w:r>
      <w:bookmarkEnd w:id="10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中医药事业传承与发展（中医中西医结合科研课题）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2.50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2.50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中医科研相关支出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1.中医科研相关支出绩效考核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论文发表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5篇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≥5篇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理论成果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理论成果应用临床转化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按期结题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2022年度结题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2022年度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经费使用率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1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临床转化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成果登记转化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项目团队满意率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满意率超过95%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97121233"/>
      <w:r>
        <w:rPr>
          <w:rFonts w:ascii="方正仿宋_GBK" w:hAnsi="方正仿宋_GBK" w:eastAsia="方正仿宋_GBK" w:cs="方正仿宋_GBK"/>
          <w:color w:val="000000"/>
          <w:sz w:val="28"/>
        </w:rPr>
        <w:t>244.重大传染病防控-2022年中央非直达绩效目标表</w:t>
      </w:r>
      <w:bookmarkEnd w:id="1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重大传染病防控-2022年中央非直达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60.00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60.00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脑卒中心筛查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1.提高脑卒中知晓率、治愈率和控制率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脑卒中高危人群人数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脑卒中高危人群人数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≥4000人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随访干预率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随访干预率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质控合格后发放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控制成本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≤60万元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脑卒中知晓率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脑卒中知晓率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脑卒中高危人群满意度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脑卒中高危人群满意度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ind w:firstLine="560"/>
        <w:outlineLvl w:val="3"/>
      </w:pPr>
      <w:bookmarkStart w:id="12" w:name="_Toc97121234"/>
      <w:r>
        <w:rPr>
          <w:rFonts w:ascii="方正仿宋_GBK" w:hAnsi="方正仿宋_GBK" w:eastAsia="方正仿宋_GBK" w:cs="方正仿宋_GBK"/>
          <w:color w:val="000000"/>
          <w:sz w:val="28"/>
        </w:rPr>
        <w:t>245.住院医师规范化培训-01中央直达资金-2022年医疗服务与保障能力提升补助资金绩效目标表</w:t>
      </w:r>
      <w:bookmarkEnd w:id="1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住院医师规范化培训-01中央直达资金-2022年医疗服务与保障能力提升补助资金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378.00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  <w:r>
              <w:t>378.00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规培补助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1.规培补助发放绩效考核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参加规培人数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参加规培人数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≥126人数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培训合格率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发放及时率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发放及时率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根据考勤统计发放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控制支出总成本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控制支出总成本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≤378万元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培训效果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培训效果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培训学员满意度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培训学员满意度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97121235"/>
      <w:r>
        <w:rPr>
          <w:rFonts w:ascii="方正仿宋_GBK" w:hAnsi="方正仿宋_GBK" w:eastAsia="方正仿宋_GBK" w:cs="方正仿宋_GBK"/>
          <w:color w:val="000000"/>
          <w:sz w:val="28"/>
        </w:rPr>
        <w:t>246.自有收入的支出（综合业务费）绩效目标表</w:t>
      </w:r>
      <w:bookmarkEnd w:id="1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4"/>
            </w:pPr>
            <w:r>
              <w:t>330224天津医科大学第二医院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5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自有收入的支出（综合业务费）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6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500.00</w:t>
            </w:r>
          </w:p>
        </w:tc>
        <w:tc>
          <w:tcPr>
            <w:tcW w:w="1587" w:type="dxa"/>
            <w:vAlign w:val="center"/>
          </w:tcPr>
          <w:p>
            <w:pPr>
              <w:pStyle w:val="6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7"/>
            </w:pP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500.00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科研项目自有资金支出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7"/>
            </w:pPr>
            <w:r>
              <w:t>1.科研项目</w:t>
            </w:r>
          </w:p>
        </w:tc>
      </w:tr>
    </w:tbl>
    <w:p>
      <w:pPr>
        <w:spacing w:line="2" w:lineRule="exact"/>
        <w:jc w:val="center"/>
      </w:pP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6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6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6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6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8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控制成本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降低成本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控制数量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提高检测数量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缩短时间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减少等待时间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提高诊断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提高诊断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提高收入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提高收入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8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7"/>
            </w:pPr>
            <w:r>
              <w:t>患者满意度</w:t>
            </w:r>
          </w:p>
        </w:tc>
        <w:tc>
          <w:tcPr>
            <w:tcW w:w="3430" w:type="dxa"/>
            <w:vAlign w:val="center"/>
          </w:tcPr>
          <w:p>
            <w:pPr>
              <w:pStyle w:val="7"/>
            </w:pPr>
            <w:r>
              <w:t>提高</w:t>
            </w:r>
          </w:p>
        </w:tc>
        <w:tc>
          <w:tcPr>
            <w:tcW w:w="2551" w:type="dxa"/>
            <w:vAlign w:val="center"/>
          </w:tcPr>
          <w:p>
            <w:pPr>
              <w:pStyle w:val="7"/>
            </w:pPr>
            <w:r>
              <w:t>≥90%</w:t>
            </w:r>
          </w:p>
        </w:tc>
      </w:tr>
    </w:tbl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355D9"/>
    <w:rsid w:val="138355D9"/>
    <w:rsid w:val="41D9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6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7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8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2022-03-18T03:13:00Z</dcterms:created>
  <dc:creator>User</dc:creator>
  <cp:lastModifiedBy>User</cp:lastModifiedBy>
  <dcterms:modified xsi:type="dcterms:W3CDTF">2022-03-18T03:24:38Z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859B9AF2F2074BB99440D49D65578D35</vt:lpwstr>
  </property>
</Properties>
</file>