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79956">
      <w:pPr>
        <w:pStyle w:val="5"/>
        <w:spacing w:before="114" w:line="219" w:lineRule="auto"/>
        <w:ind w:left="3129"/>
        <w:rPr>
          <w:sz w:val="29"/>
          <w:szCs w:val="29"/>
        </w:rPr>
      </w:pPr>
      <w:r>
        <w:rPr>
          <w:b/>
          <w:bCs/>
          <w:spacing w:val="-14"/>
          <w:sz w:val="29"/>
          <w:szCs w:val="29"/>
        </w:rPr>
        <w:t>天津医科大学第二医院</w:t>
      </w:r>
    </w:p>
    <w:p w14:paraId="571CFF98">
      <w:pPr>
        <w:pStyle w:val="5"/>
        <w:spacing w:before="94" w:line="219" w:lineRule="auto"/>
        <w:ind w:left="1129"/>
        <w:rPr>
          <w:b/>
          <w:bCs/>
          <w:spacing w:val="-12"/>
          <w:sz w:val="29"/>
          <w:szCs w:val="29"/>
        </w:rPr>
      </w:pPr>
      <w:r>
        <w:rPr>
          <w:b/>
          <w:bCs/>
          <w:spacing w:val="-12"/>
          <w:sz w:val="29"/>
          <w:szCs w:val="29"/>
        </w:rPr>
        <w:t>互联网医院信息系统网络安全等级保护测评项目需求书</w:t>
      </w:r>
    </w:p>
    <w:p w14:paraId="4EAC33FD">
      <w:pPr>
        <w:pStyle w:val="5"/>
        <w:spacing w:before="94" w:line="219" w:lineRule="auto"/>
        <w:ind w:left="1129"/>
        <w:rPr>
          <w:b/>
          <w:bCs/>
          <w:spacing w:val="-12"/>
          <w:sz w:val="29"/>
          <w:szCs w:val="29"/>
        </w:rPr>
      </w:pPr>
    </w:p>
    <w:p w14:paraId="54A8ED0E">
      <w:pPr>
        <w:numPr>
          <w:ilvl w:val="0"/>
          <w:numId w:val="1"/>
        </w:numPr>
        <w:spacing w:line="360" w:lineRule="auto"/>
        <w:ind w:firstLine="482" w:firstLineChars="200"/>
        <w:jc w:val="left"/>
        <w:rPr>
          <w:rFonts w:hint="eastAsia" w:ascii="宋体" w:hAnsi="宋体" w:eastAsia="宋体" w:cs="宋体"/>
          <w:b/>
          <w:sz w:val="24"/>
          <w:szCs w:val="20"/>
        </w:rPr>
      </w:pPr>
      <w:r>
        <w:rPr>
          <w:rFonts w:hint="eastAsia" w:ascii="宋体" w:hAnsi="宋体" w:eastAsia="宋体" w:cs="宋体"/>
          <w:b/>
          <w:sz w:val="24"/>
          <w:szCs w:val="20"/>
        </w:rPr>
        <w:t>项目背景</w:t>
      </w:r>
    </w:p>
    <w:p w14:paraId="0089E19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了提高天津医科大学第二医院信息系统安全保护能力，深入贯彻《中华人民共和国网络安全法》第二十一条关于网络安全等级保护制度的要求，落实国家四部委关于《信息安全等级保护管理办法》(公通字[2007]43号),按照国家《信息安全技术网络安全等级保护基本要求》GB/T22239-2019标准，拟对医院运营使用的互联网医院信息系统开展网络安全等级保护测评工作。天津医科大学第二医院拟委托专业等保测评机构对医院的系统进行网络安全等级保护测评服务。</w:t>
      </w:r>
    </w:p>
    <w:p w14:paraId="3767EEA6">
      <w:pPr>
        <w:numPr>
          <w:ilvl w:val="0"/>
          <w:numId w:val="1"/>
        </w:numPr>
        <w:spacing w:line="360" w:lineRule="auto"/>
        <w:ind w:firstLine="482" w:firstLineChars="200"/>
        <w:jc w:val="left"/>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项目内容</w:t>
      </w:r>
    </w:p>
    <w:p w14:paraId="18A64383">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color w:val="000000"/>
          <w:kern w:val="0"/>
          <w:sz w:val="24"/>
          <w:szCs w:val="24"/>
          <w:lang w:val="en-US" w:eastAsia="zh-CN"/>
        </w:rPr>
      </w:pPr>
    </w:p>
    <w:tbl>
      <w:tblPr>
        <w:tblStyle w:val="9"/>
        <w:tblW w:w="851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3306"/>
        <w:gridCol w:w="4190"/>
      </w:tblGrid>
      <w:tr w14:paraId="111D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14" w:type="dxa"/>
            <w:vAlign w:val="top"/>
          </w:tcPr>
          <w:p w14:paraId="4CE7E731">
            <w:pPr>
              <w:pStyle w:val="8"/>
              <w:spacing w:before="81" w:line="241" w:lineRule="auto"/>
              <w:ind w:left="43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序号</w:t>
            </w:r>
          </w:p>
        </w:tc>
        <w:tc>
          <w:tcPr>
            <w:tcW w:w="3306" w:type="dxa"/>
            <w:vAlign w:val="top"/>
          </w:tcPr>
          <w:p w14:paraId="749B2547">
            <w:pPr>
              <w:pStyle w:val="8"/>
              <w:spacing w:before="125" w:line="219" w:lineRule="auto"/>
              <w:ind w:left="114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服务名称</w:t>
            </w:r>
          </w:p>
        </w:tc>
        <w:tc>
          <w:tcPr>
            <w:tcW w:w="4190" w:type="dxa"/>
            <w:vAlign w:val="top"/>
          </w:tcPr>
          <w:p w14:paraId="1329A298">
            <w:pPr>
              <w:pStyle w:val="8"/>
              <w:spacing w:before="125" w:line="219" w:lineRule="auto"/>
              <w:ind w:left="158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服务内容</w:t>
            </w:r>
          </w:p>
        </w:tc>
      </w:tr>
      <w:tr w14:paraId="7008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1014" w:type="dxa"/>
            <w:vAlign w:val="top"/>
          </w:tcPr>
          <w:p w14:paraId="61051B65">
            <w:pPr>
              <w:pStyle w:val="8"/>
              <w:spacing w:before="81" w:line="241" w:lineRule="auto"/>
              <w:ind w:left="435"/>
              <w:jc w:val="left"/>
              <w:rPr>
                <w:rFonts w:hint="eastAsia" w:ascii="宋体" w:hAnsi="宋体" w:eastAsia="宋体" w:cs="宋体"/>
                <w:color w:val="000000"/>
                <w:kern w:val="0"/>
                <w:sz w:val="24"/>
                <w:szCs w:val="24"/>
                <w:lang w:val="en-US" w:eastAsia="zh-CN" w:bidi="ar-SA"/>
              </w:rPr>
            </w:pPr>
          </w:p>
          <w:p w14:paraId="32CF6586">
            <w:pPr>
              <w:pStyle w:val="8"/>
              <w:spacing w:before="81" w:line="241"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3306" w:type="dxa"/>
            <w:vAlign w:val="top"/>
          </w:tcPr>
          <w:p w14:paraId="3736374D">
            <w:pPr>
              <w:pStyle w:val="8"/>
              <w:spacing w:before="81" w:line="219"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互联网医院信息系统网络安全等级保护测评服务</w:t>
            </w:r>
          </w:p>
        </w:tc>
        <w:tc>
          <w:tcPr>
            <w:tcW w:w="4190" w:type="dxa"/>
            <w:vAlign w:val="top"/>
          </w:tcPr>
          <w:p w14:paraId="23A4F892">
            <w:pPr>
              <w:pStyle w:val="8"/>
              <w:spacing w:before="114" w:line="304" w:lineRule="auto"/>
              <w:ind w:right="139"/>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合同期内开展网络安全等级保护测评服务，出具符合国家标准的网络安全等级保护测评报告。涉及系统：互联网医院信息系统(三级)。</w:t>
            </w:r>
          </w:p>
        </w:tc>
      </w:tr>
      <w:tr w14:paraId="515AB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014" w:type="dxa"/>
            <w:vAlign w:val="top"/>
          </w:tcPr>
          <w:p w14:paraId="596AC255">
            <w:pPr>
              <w:pStyle w:val="8"/>
              <w:spacing w:before="81" w:line="241" w:lineRule="auto"/>
              <w:ind w:left="435"/>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p>
        </w:tc>
        <w:tc>
          <w:tcPr>
            <w:tcW w:w="3306" w:type="dxa"/>
            <w:vAlign w:val="top"/>
          </w:tcPr>
          <w:p w14:paraId="70867321">
            <w:pPr>
              <w:pStyle w:val="8"/>
              <w:spacing w:before="81" w:line="219"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渗透漏洞扫描服务</w:t>
            </w:r>
          </w:p>
        </w:tc>
        <w:tc>
          <w:tcPr>
            <w:tcW w:w="4190" w:type="dxa"/>
            <w:vAlign w:val="top"/>
          </w:tcPr>
          <w:p w14:paraId="73686EFE">
            <w:pPr>
              <w:pStyle w:val="8"/>
              <w:spacing w:before="114" w:line="304" w:lineRule="auto"/>
              <w:ind w:right="139"/>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在合同期内按照要求开展漏洞扫描2次，渗透测试2次。</w:t>
            </w:r>
          </w:p>
        </w:tc>
      </w:tr>
      <w:tr w14:paraId="48F7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014" w:type="dxa"/>
            <w:vAlign w:val="top"/>
          </w:tcPr>
          <w:p w14:paraId="61C4888B">
            <w:pPr>
              <w:pStyle w:val="8"/>
              <w:spacing w:before="81"/>
              <w:ind w:left="435"/>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w:t>
            </w:r>
          </w:p>
        </w:tc>
        <w:tc>
          <w:tcPr>
            <w:tcW w:w="3306" w:type="dxa"/>
            <w:vAlign w:val="top"/>
          </w:tcPr>
          <w:p w14:paraId="7E7D9C6A">
            <w:pPr>
              <w:pStyle w:val="8"/>
              <w:spacing w:before="81" w:line="219"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安全培训服务</w:t>
            </w:r>
          </w:p>
        </w:tc>
        <w:tc>
          <w:tcPr>
            <w:tcW w:w="4190" w:type="dxa"/>
            <w:vAlign w:val="top"/>
          </w:tcPr>
          <w:p w14:paraId="7ACA9040">
            <w:pPr>
              <w:pStyle w:val="8"/>
              <w:spacing w:before="117" w:line="301"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在合同期内根据要求，开展人员安全培训1次。</w:t>
            </w:r>
          </w:p>
        </w:tc>
      </w:tr>
    </w:tbl>
    <w:p w14:paraId="7ACBA98F">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br w:type="page"/>
      </w:r>
    </w:p>
    <w:p w14:paraId="70AE57C7">
      <w:pPr>
        <w:numPr>
          <w:ilvl w:val="0"/>
          <w:numId w:val="1"/>
        </w:numPr>
        <w:spacing w:line="360" w:lineRule="auto"/>
        <w:ind w:firstLine="482" w:firstLineChars="200"/>
        <w:jc w:val="left"/>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商务要求</w:t>
      </w:r>
    </w:p>
    <w:p w14:paraId="4E657055">
      <w:pPr>
        <w:spacing w:line="123" w:lineRule="exact"/>
        <w:rPr>
          <w:rFonts w:hint="eastAsia" w:ascii="宋体" w:hAnsi="宋体" w:eastAsia="宋体" w:cs="宋体"/>
          <w:color w:val="000000"/>
          <w:kern w:val="0"/>
          <w:sz w:val="24"/>
          <w:szCs w:val="24"/>
          <w:lang w:val="en-US" w:eastAsia="zh-CN" w:bidi="ar-SA"/>
        </w:rPr>
      </w:pPr>
    </w:p>
    <w:tbl>
      <w:tblPr>
        <w:tblStyle w:val="9"/>
        <w:tblW w:w="8651"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4005"/>
        <w:gridCol w:w="1398"/>
        <w:gridCol w:w="10"/>
        <w:gridCol w:w="2194"/>
      </w:tblGrid>
      <w:tr w14:paraId="611AF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044" w:type="dxa"/>
            <w:vAlign w:val="top"/>
          </w:tcPr>
          <w:p w14:paraId="1188B913">
            <w:pPr>
              <w:spacing w:line="263" w:lineRule="auto"/>
              <w:rPr>
                <w:rFonts w:hint="eastAsia" w:ascii="宋体" w:hAnsi="宋体" w:eastAsia="宋体" w:cs="宋体"/>
                <w:color w:val="000000"/>
                <w:kern w:val="0"/>
                <w:sz w:val="24"/>
                <w:szCs w:val="24"/>
                <w:lang w:val="en-US" w:eastAsia="zh-CN" w:bidi="ar-SA"/>
              </w:rPr>
            </w:pPr>
          </w:p>
          <w:p w14:paraId="74F88570">
            <w:pPr>
              <w:pStyle w:val="8"/>
              <w:spacing w:before="81" w:line="221" w:lineRule="auto"/>
              <w:ind w:left="26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序号</w:t>
            </w:r>
          </w:p>
        </w:tc>
        <w:tc>
          <w:tcPr>
            <w:tcW w:w="4005" w:type="dxa"/>
            <w:vAlign w:val="top"/>
          </w:tcPr>
          <w:p w14:paraId="66AFF91C">
            <w:pPr>
              <w:spacing w:line="262" w:lineRule="auto"/>
              <w:rPr>
                <w:rFonts w:hint="eastAsia" w:ascii="宋体" w:hAnsi="宋体" w:eastAsia="宋体" w:cs="宋体"/>
                <w:color w:val="000000"/>
                <w:kern w:val="0"/>
                <w:sz w:val="24"/>
                <w:szCs w:val="24"/>
                <w:lang w:val="en-US" w:eastAsia="zh-CN" w:bidi="ar-SA"/>
              </w:rPr>
            </w:pPr>
          </w:p>
          <w:p w14:paraId="686E0D5A">
            <w:pPr>
              <w:pStyle w:val="8"/>
              <w:spacing w:before="81" w:line="219" w:lineRule="auto"/>
              <w:ind w:left="1491"/>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需求条款</w:t>
            </w:r>
          </w:p>
        </w:tc>
        <w:tc>
          <w:tcPr>
            <w:tcW w:w="1398" w:type="dxa"/>
            <w:vAlign w:val="top"/>
          </w:tcPr>
          <w:p w14:paraId="2A2AB846">
            <w:pPr>
              <w:pStyle w:val="8"/>
              <w:spacing w:before="116" w:line="220" w:lineRule="auto"/>
              <w:ind w:left="196"/>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是否为实</w:t>
            </w:r>
          </w:p>
          <w:p w14:paraId="3A442077">
            <w:pPr>
              <w:pStyle w:val="8"/>
              <w:spacing w:before="181" w:line="219" w:lineRule="auto"/>
              <w:ind w:left="196"/>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质性条款</w:t>
            </w:r>
          </w:p>
        </w:tc>
        <w:tc>
          <w:tcPr>
            <w:tcW w:w="2204" w:type="dxa"/>
            <w:gridSpan w:val="2"/>
            <w:vAlign w:val="top"/>
          </w:tcPr>
          <w:p w14:paraId="455697BC">
            <w:pPr>
              <w:pStyle w:val="8"/>
              <w:spacing w:before="113" w:line="298" w:lineRule="auto"/>
              <w:ind w:left="97" w:right="5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原因说明(实质性条款需列明原因)</w:t>
            </w:r>
          </w:p>
        </w:tc>
      </w:tr>
      <w:tr w14:paraId="16C85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044" w:type="dxa"/>
            <w:vAlign w:val="top"/>
          </w:tcPr>
          <w:p w14:paraId="7ED3E55C">
            <w:pPr>
              <w:pStyle w:val="8"/>
              <w:spacing w:before="81"/>
              <w:ind w:left="435"/>
              <w:jc w:val="both"/>
              <w:rPr>
                <w:rFonts w:hint="eastAsia" w:ascii="宋体" w:hAnsi="宋体" w:eastAsia="宋体" w:cs="宋体"/>
                <w:color w:val="000000"/>
                <w:kern w:val="0"/>
                <w:sz w:val="24"/>
                <w:szCs w:val="24"/>
                <w:lang w:val="en-US" w:eastAsia="zh-CN" w:bidi="ar-SA"/>
              </w:rPr>
            </w:pPr>
          </w:p>
          <w:p w14:paraId="47B00E85">
            <w:pPr>
              <w:pStyle w:val="8"/>
              <w:spacing w:before="81"/>
              <w:ind w:left="435"/>
              <w:jc w:val="both"/>
              <w:rPr>
                <w:rFonts w:hint="eastAsia" w:ascii="宋体" w:hAnsi="宋体" w:eastAsia="宋体" w:cs="宋体"/>
                <w:color w:val="000000"/>
                <w:kern w:val="0"/>
                <w:sz w:val="24"/>
                <w:szCs w:val="24"/>
                <w:lang w:val="en-US" w:eastAsia="zh-CN" w:bidi="ar-SA"/>
              </w:rPr>
            </w:pPr>
          </w:p>
          <w:p w14:paraId="477314C6">
            <w:pPr>
              <w:pStyle w:val="8"/>
              <w:spacing w:before="81"/>
              <w:ind w:left="435"/>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4005" w:type="dxa"/>
            <w:shd w:val="clear" w:color="auto" w:fill="auto"/>
            <w:vAlign w:val="top"/>
          </w:tcPr>
          <w:p w14:paraId="2A8E72D4">
            <w:pPr>
              <w:pStyle w:val="8"/>
              <w:spacing w:before="114" w:line="341" w:lineRule="auto"/>
              <w:ind w:left="121" w:right="111"/>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投标人须提供营业执照副本或事业单位法人证书或民办非企业单位登</w:t>
            </w:r>
          </w:p>
          <w:p w14:paraId="59E6D215">
            <w:pPr>
              <w:pStyle w:val="8"/>
              <w:spacing w:before="16" w:line="293" w:lineRule="auto"/>
              <w:ind w:left="121" w:leftChars="0" w:right="112" w:rightChars="0"/>
              <w:rPr>
                <w:rFonts w:hint="eastAsia"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zh-CN" w:bidi="ar-SA"/>
              </w:rPr>
              <w:t>记证书或社会团体法人登记证书或基金会法人登记证书复印件并加盖</w:t>
            </w:r>
          </w:p>
        </w:tc>
        <w:tc>
          <w:tcPr>
            <w:tcW w:w="1408" w:type="dxa"/>
            <w:gridSpan w:val="2"/>
            <w:shd w:val="clear" w:color="auto" w:fill="auto"/>
            <w:vAlign w:val="top"/>
          </w:tcPr>
          <w:p w14:paraId="7592E673">
            <w:pPr>
              <w:spacing w:line="244" w:lineRule="auto"/>
              <w:rPr>
                <w:rFonts w:hint="eastAsia" w:ascii="宋体" w:hAnsi="宋体" w:eastAsia="宋体" w:cs="宋体"/>
                <w:color w:val="000000"/>
                <w:kern w:val="0"/>
                <w:sz w:val="24"/>
                <w:szCs w:val="24"/>
                <w:lang w:val="en-US" w:eastAsia="zh-CN" w:bidi="ar-SA"/>
              </w:rPr>
            </w:pPr>
          </w:p>
          <w:p w14:paraId="31343C3C">
            <w:pPr>
              <w:spacing w:line="244" w:lineRule="auto"/>
              <w:rPr>
                <w:rFonts w:hint="eastAsia" w:ascii="宋体" w:hAnsi="宋体" w:eastAsia="宋体" w:cs="宋体"/>
                <w:color w:val="000000"/>
                <w:kern w:val="0"/>
                <w:sz w:val="24"/>
                <w:szCs w:val="24"/>
                <w:lang w:val="en-US" w:eastAsia="zh-CN" w:bidi="ar-SA"/>
              </w:rPr>
            </w:pPr>
          </w:p>
          <w:p w14:paraId="10842EF6">
            <w:pPr>
              <w:spacing w:line="245" w:lineRule="auto"/>
              <w:rPr>
                <w:rFonts w:hint="eastAsia" w:ascii="宋体" w:hAnsi="宋体" w:eastAsia="宋体" w:cs="宋体"/>
                <w:color w:val="000000"/>
                <w:kern w:val="0"/>
                <w:sz w:val="24"/>
                <w:szCs w:val="24"/>
                <w:lang w:val="en-US" w:eastAsia="zh-CN" w:bidi="ar-SA"/>
              </w:rPr>
            </w:pPr>
          </w:p>
          <w:p w14:paraId="13B29922">
            <w:pPr>
              <w:pStyle w:val="8"/>
              <w:spacing w:before="81" w:line="223" w:lineRule="auto"/>
              <w:ind w:left="566" w:leftChars="0"/>
              <w:rPr>
                <w:rFonts w:hint="eastAsia"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zh-CN" w:bidi="ar-SA"/>
              </w:rPr>
              <w:t>是</w:t>
            </w:r>
          </w:p>
        </w:tc>
        <w:tc>
          <w:tcPr>
            <w:tcW w:w="2194" w:type="dxa"/>
            <w:shd w:val="clear" w:color="auto" w:fill="auto"/>
            <w:vAlign w:val="top"/>
          </w:tcPr>
          <w:p w14:paraId="0FA1A3C9">
            <w:pPr>
              <w:spacing w:line="242" w:lineRule="auto"/>
              <w:rPr>
                <w:rFonts w:hint="eastAsia" w:ascii="宋体" w:hAnsi="宋体" w:eastAsia="宋体" w:cs="宋体"/>
                <w:color w:val="000000"/>
                <w:kern w:val="0"/>
                <w:sz w:val="24"/>
                <w:szCs w:val="24"/>
                <w:lang w:val="en-US" w:eastAsia="zh-CN" w:bidi="ar-SA"/>
              </w:rPr>
            </w:pPr>
          </w:p>
          <w:p w14:paraId="7E3E2033">
            <w:pPr>
              <w:spacing w:line="242" w:lineRule="auto"/>
              <w:rPr>
                <w:rFonts w:hint="eastAsia" w:ascii="宋体" w:hAnsi="宋体" w:eastAsia="宋体" w:cs="宋体"/>
                <w:color w:val="000000"/>
                <w:kern w:val="0"/>
                <w:sz w:val="24"/>
                <w:szCs w:val="24"/>
                <w:lang w:val="en-US" w:eastAsia="zh-CN" w:bidi="ar-SA"/>
              </w:rPr>
            </w:pPr>
          </w:p>
          <w:p w14:paraId="4D9FFBCF">
            <w:pPr>
              <w:spacing w:line="242" w:lineRule="auto"/>
              <w:rPr>
                <w:rFonts w:hint="eastAsia" w:ascii="宋体" w:hAnsi="宋体" w:eastAsia="宋体" w:cs="宋体"/>
                <w:color w:val="000000"/>
                <w:kern w:val="0"/>
                <w:sz w:val="24"/>
                <w:szCs w:val="24"/>
                <w:lang w:val="en-US" w:eastAsia="zh-CN" w:bidi="ar-SA"/>
              </w:rPr>
            </w:pPr>
          </w:p>
          <w:p w14:paraId="0270A341">
            <w:pPr>
              <w:pStyle w:val="8"/>
              <w:spacing w:before="82" w:line="219" w:lineRule="auto"/>
              <w:ind w:left="538" w:leftChars="0"/>
              <w:rPr>
                <w:rFonts w:hint="eastAsia"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zh-CN" w:bidi="ar-SA"/>
              </w:rPr>
              <w:t>基本资质</w:t>
            </w:r>
          </w:p>
        </w:tc>
      </w:tr>
      <w:tr w14:paraId="44F36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044" w:type="dxa"/>
            <w:vAlign w:val="top"/>
          </w:tcPr>
          <w:p w14:paraId="626D5DAD">
            <w:pPr>
              <w:pStyle w:val="8"/>
              <w:spacing w:before="81"/>
              <w:ind w:left="435"/>
              <w:rPr>
                <w:rFonts w:hint="eastAsia" w:ascii="宋体" w:hAnsi="宋体" w:eastAsia="宋体" w:cs="宋体"/>
                <w:color w:val="000000"/>
                <w:kern w:val="0"/>
                <w:sz w:val="24"/>
                <w:szCs w:val="24"/>
                <w:lang w:val="en-US" w:eastAsia="zh-CN" w:bidi="ar-SA"/>
              </w:rPr>
            </w:pPr>
          </w:p>
          <w:p w14:paraId="4709E9C8">
            <w:pPr>
              <w:pStyle w:val="8"/>
              <w:spacing w:before="81"/>
              <w:ind w:left="435"/>
              <w:rPr>
                <w:rFonts w:hint="eastAsia" w:ascii="宋体" w:hAnsi="宋体" w:eastAsia="宋体" w:cs="宋体"/>
                <w:color w:val="000000"/>
                <w:kern w:val="0"/>
                <w:sz w:val="24"/>
                <w:szCs w:val="24"/>
                <w:lang w:val="en-US" w:eastAsia="zh-CN" w:bidi="ar-SA"/>
              </w:rPr>
            </w:pPr>
          </w:p>
          <w:p w14:paraId="1D4E0FDF">
            <w:pPr>
              <w:pStyle w:val="8"/>
              <w:spacing w:before="81"/>
              <w:ind w:left="43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p>
        </w:tc>
        <w:tc>
          <w:tcPr>
            <w:tcW w:w="4005" w:type="dxa"/>
            <w:vAlign w:val="top"/>
          </w:tcPr>
          <w:p w14:paraId="03711CE8">
            <w:pPr>
              <w:pStyle w:val="8"/>
              <w:spacing w:before="113" w:line="324" w:lineRule="auto"/>
              <w:ind w:left="101" w:right="105" w:firstLine="19"/>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投标人须提供有效期内的公安部第三研究所颁发的《网络安全等级测评 与检测评估机构服务认证证书》复印件并加盖投标单位公章。</w:t>
            </w:r>
          </w:p>
        </w:tc>
        <w:tc>
          <w:tcPr>
            <w:tcW w:w="1408" w:type="dxa"/>
            <w:gridSpan w:val="2"/>
            <w:shd w:val="clear" w:color="auto" w:fill="auto"/>
            <w:vAlign w:val="top"/>
          </w:tcPr>
          <w:p w14:paraId="2EB14B4E">
            <w:pPr>
              <w:spacing w:line="246" w:lineRule="auto"/>
              <w:rPr>
                <w:rFonts w:hint="eastAsia" w:ascii="宋体" w:hAnsi="宋体" w:eastAsia="宋体" w:cs="宋体"/>
                <w:color w:val="000000"/>
                <w:kern w:val="0"/>
                <w:sz w:val="24"/>
                <w:szCs w:val="24"/>
                <w:lang w:val="en-US" w:eastAsia="zh-CN" w:bidi="ar-SA"/>
              </w:rPr>
            </w:pPr>
          </w:p>
          <w:p w14:paraId="79D3B6CC">
            <w:pPr>
              <w:spacing w:line="247" w:lineRule="auto"/>
              <w:rPr>
                <w:rFonts w:hint="eastAsia" w:ascii="宋体" w:hAnsi="宋体" w:eastAsia="宋体" w:cs="宋体"/>
                <w:color w:val="000000"/>
                <w:kern w:val="0"/>
                <w:sz w:val="24"/>
                <w:szCs w:val="24"/>
                <w:lang w:val="en-US" w:eastAsia="zh-CN" w:bidi="ar-SA"/>
              </w:rPr>
            </w:pPr>
          </w:p>
          <w:p w14:paraId="4DCF7B9C">
            <w:pPr>
              <w:spacing w:line="247" w:lineRule="auto"/>
              <w:rPr>
                <w:rFonts w:hint="eastAsia" w:ascii="宋体" w:hAnsi="宋体" w:eastAsia="宋体" w:cs="宋体"/>
                <w:color w:val="000000"/>
                <w:kern w:val="0"/>
                <w:sz w:val="24"/>
                <w:szCs w:val="24"/>
                <w:lang w:val="en-US" w:eastAsia="zh-CN" w:bidi="ar-SA"/>
              </w:rPr>
            </w:pPr>
          </w:p>
          <w:p w14:paraId="2C25A4AA">
            <w:pPr>
              <w:pStyle w:val="8"/>
              <w:spacing w:before="81" w:line="223" w:lineRule="auto"/>
              <w:ind w:left="576" w:leftChars="0"/>
              <w:rPr>
                <w:rFonts w:hint="eastAsia"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zh-CN" w:bidi="ar-SA"/>
              </w:rPr>
              <w:t>是</w:t>
            </w:r>
          </w:p>
        </w:tc>
        <w:tc>
          <w:tcPr>
            <w:tcW w:w="2194" w:type="dxa"/>
            <w:shd w:val="clear" w:color="auto" w:fill="auto"/>
            <w:vAlign w:val="top"/>
          </w:tcPr>
          <w:p w14:paraId="7E2A2489">
            <w:pPr>
              <w:spacing w:line="248" w:lineRule="auto"/>
              <w:rPr>
                <w:rFonts w:hint="eastAsia" w:ascii="宋体" w:hAnsi="宋体" w:eastAsia="宋体" w:cs="宋体"/>
                <w:color w:val="000000"/>
                <w:kern w:val="0"/>
                <w:sz w:val="24"/>
                <w:szCs w:val="24"/>
                <w:lang w:val="en-US" w:eastAsia="zh-CN" w:bidi="ar-SA"/>
              </w:rPr>
            </w:pPr>
          </w:p>
          <w:p w14:paraId="6EE72A7A">
            <w:pPr>
              <w:spacing w:line="248" w:lineRule="auto"/>
              <w:rPr>
                <w:rFonts w:hint="eastAsia" w:ascii="宋体" w:hAnsi="宋体" w:eastAsia="宋体" w:cs="宋体"/>
                <w:color w:val="000000"/>
                <w:kern w:val="0"/>
                <w:sz w:val="24"/>
                <w:szCs w:val="24"/>
                <w:lang w:val="en-US" w:eastAsia="zh-CN" w:bidi="ar-SA"/>
              </w:rPr>
            </w:pPr>
          </w:p>
          <w:p w14:paraId="56CA4C61">
            <w:pPr>
              <w:pStyle w:val="8"/>
              <w:spacing w:before="81" w:line="350" w:lineRule="auto"/>
              <w:ind w:left="527" w:leftChars="0" w:right="141" w:rightChars="0" w:hanging="370" w:firstLineChars="0"/>
              <w:rPr>
                <w:rFonts w:hint="eastAsia"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zh-CN" w:bidi="ar-SA"/>
              </w:rPr>
              <w:t>国家要求的基础 从业资质</w:t>
            </w:r>
          </w:p>
        </w:tc>
      </w:tr>
      <w:tr w14:paraId="63C21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044" w:type="dxa"/>
            <w:vAlign w:val="top"/>
          </w:tcPr>
          <w:p w14:paraId="4E352F44">
            <w:pPr>
              <w:spacing w:line="253" w:lineRule="auto"/>
              <w:rPr>
                <w:rFonts w:hint="eastAsia" w:ascii="宋体" w:hAnsi="宋体" w:eastAsia="宋体" w:cs="宋体"/>
                <w:color w:val="000000"/>
                <w:kern w:val="0"/>
                <w:sz w:val="24"/>
                <w:szCs w:val="24"/>
                <w:lang w:val="en-US" w:eastAsia="zh-CN" w:bidi="ar-SA"/>
              </w:rPr>
            </w:pPr>
          </w:p>
          <w:p w14:paraId="6E34B075">
            <w:pPr>
              <w:spacing w:line="253" w:lineRule="auto"/>
              <w:rPr>
                <w:rFonts w:hint="eastAsia" w:ascii="宋体" w:hAnsi="宋体" w:eastAsia="宋体" w:cs="宋体"/>
                <w:color w:val="000000"/>
                <w:kern w:val="0"/>
                <w:sz w:val="24"/>
                <w:szCs w:val="24"/>
                <w:lang w:val="en-US" w:eastAsia="zh-CN" w:bidi="ar-SA"/>
              </w:rPr>
            </w:pPr>
          </w:p>
          <w:p w14:paraId="4047F393">
            <w:pPr>
              <w:spacing w:line="254" w:lineRule="auto"/>
              <w:rPr>
                <w:rFonts w:hint="eastAsia" w:ascii="宋体" w:hAnsi="宋体" w:eastAsia="宋体" w:cs="宋体"/>
                <w:color w:val="000000"/>
                <w:kern w:val="0"/>
                <w:sz w:val="24"/>
                <w:szCs w:val="24"/>
                <w:lang w:val="en-US" w:eastAsia="zh-CN" w:bidi="ar-SA"/>
              </w:rPr>
            </w:pPr>
          </w:p>
          <w:p w14:paraId="6E49C2D5">
            <w:pPr>
              <w:pStyle w:val="8"/>
              <w:spacing w:before="81"/>
              <w:ind w:left="43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w:t>
            </w:r>
          </w:p>
        </w:tc>
        <w:tc>
          <w:tcPr>
            <w:tcW w:w="4005" w:type="dxa"/>
            <w:vAlign w:val="top"/>
          </w:tcPr>
          <w:p w14:paraId="7E83043C">
            <w:pPr>
              <w:pStyle w:val="8"/>
              <w:spacing w:before="113" w:line="324" w:lineRule="auto"/>
              <w:ind w:left="101" w:right="105" w:firstLine="19"/>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投标人须提供2023年度企业经第三方会计师事务所审计的企业财务报告复印件或近一个月银行出具的资 信证明复印件并加盖企业公章。</w:t>
            </w:r>
          </w:p>
        </w:tc>
        <w:tc>
          <w:tcPr>
            <w:tcW w:w="1408" w:type="dxa"/>
            <w:gridSpan w:val="2"/>
            <w:vAlign w:val="top"/>
          </w:tcPr>
          <w:p w14:paraId="2A9A6BFF">
            <w:pPr>
              <w:spacing w:line="247" w:lineRule="auto"/>
              <w:rPr>
                <w:rFonts w:hint="eastAsia" w:ascii="宋体" w:hAnsi="宋体" w:eastAsia="宋体" w:cs="宋体"/>
                <w:color w:val="000000"/>
                <w:kern w:val="0"/>
                <w:sz w:val="24"/>
                <w:szCs w:val="24"/>
                <w:lang w:val="en-US" w:eastAsia="zh-CN" w:bidi="ar-SA"/>
              </w:rPr>
            </w:pPr>
          </w:p>
          <w:p w14:paraId="7565D00E">
            <w:pPr>
              <w:spacing w:line="247" w:lineRule="auto"/>
              <w:rPr>
                <w:rFonts w:hint="eastAsia" w:ascii="宋体" w:hAnsi="宋体" w:eastAsia="宋体" w:cs="宋体"/>
                <w:color w:val="000000"/>
                <w:kern w:val="0"/>
                <w:sz w:val="24"/>
                <w:szCs w:val="24"/>
                <w:lang w:val="en-US" w:eastAsia="zh-CN" w:bidi="ar-SA"/>
              </w:rPr>
            </w:pPr>
          </w:p>
          <w:p w14:paraId="1CC905F8">
            <w:pPr>
              <w:spacing w:line="247" w:lineRule="auto"/>
              <w:rPr>
                <w:rFonts w:hint="eastAsia" w:ascii="宋体" w:hAnsi="宋体" w:eastAsia="宋体" w:cs="宋体"/>
                <w:color w:val="000000"/>
                <w:kern w:val="0"/>
                <w:sz w:val="24"/>
                <w:szCs w:val="24"/>
                <w:lang w:val="en-US" w:eastAsia="zh-CN" w:bidi="ar-SA"/>
              </w:rPr>
            </w:pPr>
          </w:p>
          <w:p w14:paraId="2573F1E5">
            <w:pPr>
              <w:pStyle w:val="8"/>
              <w:spacing w:before="81" w:line="223" w:lineRule="auto"/>
              <w:ind w:left="576"/>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是</w:t>
            </w:r>
          </w:p>
        </w:tc>
        <w:tc>
          <w:tcPr>
            <w:tcW w:w="2194" w:type="dxa"/>
            <w:vAlign w:val="top"/>
          </w:tcPr>
          <w:p w14:paraId="1DD5737D">
            <w:pPr>
              <w:spacing w:line="244" w:lineRule="auto"/>
              <w:rPr>
                <w:rFonts w:hint="eastAsia" w:ascii="宋体" w:hAnsi="宋体" w:eastAsia="宋体" w:cs="宋体"/>
                <w:color w:val="000000"/>
                <w:kern w:val="0"/>
                <w:sz w:val="24"/>
                <w:szCs w:val="24"/>
                <w:lang w:val="en-US" w:eastAsia="zh-CN" w:bidi="ar-SA"/>
              </w:rPr>
            </w:pPr>
          </w:p>
          <w:p w14:paraId="72262F0F">
            <w:pPr>
              <w:spacing w:line="245" w:lineRule="auto"/>
              <w:rPr>
                <w:rFonts w:hint="eastAsia" w:ascii="宋体" w:hAnsi="宋体" w:eastAsia="宋体" w:cs="宋体"/>
                <w:color w:val="000000"/>
                <w:kern w:val="0"/>
                <w:sz w:val="24"/>
                <w:szCs w:val="24"/>
                <w:lang w:val="en-US" w:eastAsia="zh-CN" w:bidi="ar-SA"/>
              </w:rPr>
            </w:pPr>
          </w:p>
          <w:p w14:paraId="635F03BA">
            <w:pPr>
              <w:spacing w:line="245" w:lineRule="auto"/>
              <w:rPr>
                <w:rFonts w:hint="eastAsia" w:ascii="宋体" w:hAnsi="宋体" w:eastAsia="宋体" w:cs="宋体"/>
                <w:color w:val="000000"/>
                <w:kern w:val="0"/>
                <w:sz w:val="24"/>
                <w:szCs w:val="24"/>
                <w:lang w:val="en-US" w:eastAsia="zh-CN" w:bidi="ar-SA"/>
              </w:rPr>
            </w:pPr>
          </w:p>
          <w:p w14:paraId="6C15B49D">
            <w:pPr>
              <w:pStyle w:val="8"/>
              <w:spacing w:before="82" w:line="219" w:lineRule="auto"/>
              <w:ind w:left="278"/>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国家基本要求</w:t>
            </w:r>
          </w:p>
        </w:tc>
      </w:tr>
      <w:tr w14:paraId="0D568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044" w:type="dxa"/>
            <w:vAlign w:val="top"/>
          </w:tcPr>
          <w:p w14:paraId="36884168">
            <w:pPr>
              <w:spacing w:line="246" w:lineRule="auto"/>
              <w:rPr>
                <w:rFonts w:hint="eastAsia" w:ascii="宋体" w:hAnsi="宋体" w:eastAsia="宋体" w:cs="宋体"/>
                <w:color w:val="000000"/>
                <w:kern w:val="0"/>
                <w:sz w:val="24"/>
                <w:szCs w:val="24"/>
                <w:lang w:val="en-US" w:eastAsia="zh-CN" w:bidi="ar-SA"/>
              </w:rPr>
            </w:pPr>
          </w:p>
          <w:p w14:paraId="5C207758">
            <w:pPr>
              <w:spacing w:line="246" w:lineRule="auto"/>
              <w:rPr>
                <w:rFonts w:hint="eastAsia" w:ascii="宋体" w:hAnsi="宋体" w:eastAsia="宋体" w:cs="宋体"/>
                <w:color w:val="000000"/>
                <w:kern w:val="0"/>
                <w:sz w:val="24"/>
                <w:szCs w:val="24"/>
                <w:lang w:val="en-US" w:eastAsia="zh-CN" w:bidi="ar-SA"/>
              </w:rPr>
            </w:pPr>
          </w:p>
          <w:p w14:paraId="531F5551">
            <w:pPr>
              <w:spacing w:line="246" w:lineRule="auto"/>
              <w:rPr>
                <w:rFonts w:hint="eastAsia" w:ascii="宋体" w:hAnsi="宋体" w:eastAsia="宋体" w:cs="宋体"/>
                <w:color w:val="000000"/>
                <w:kern w:val="0"/>
                <w:sz w:val="24"/>
                <w:szCs w:val="24"/>
                <w:lang w:val="en-US" w:eastAsia="zh-CN" w:bidi="ar-SA"/>
              </w:rPr>
            </w:pPr>
          </w:p>
          <w:p w14:paraId="65DF18C0">
            <w:pPr>
              <w:spacing w:line="246" w:lineRule="auto"/>
              <w:rPr>
                <w:rFonts w:hint="eastAsia" w:ascii="宋体" w:hAnsi="宋体" w:eastAsia="宋体" w:cs="宋体"/>
                <w:color w:val="000000"/>
                <w:kern w:val="0"/>
                <w:sz w:val="24"/>
                <w:szCs w:val="24"/>
                <w:lang w:val="en-US" w:eastAsia="zh-CN" w:bidi="ar-SA"/>
              </w:rPr>
            </w:pPr>
          </w:p>
          <w:p w14:paraId="2D965595">
            <w:pPr>
              <w:spacing w:line="246" w:lineRule="auto"/>
              <w:rPr>
                <w:rFonts w:hint="eastAsia" w:ascii="宋体" w:hAnsi="宋体" w:eastAsia="宋体" w:cs="宋体"/>
                <w:color w:val="000000"/>
                <w:kern w:val="0"/>
                <w:sz w:val="24"/>
                <w:szCs w:val="24"/>
                <w:lang w:val="en-US" w:eastAsia="zh-CN" w:bidi="ar-SA"/>
              </w:rPr>
            </w:pPr>
          </w:p>
          <w:p w14:paraId="4B808C7A">
            <w:pPr>
              <w:pStyle w:val="8"/>
              <w:spacing w:before="81" w:line="241" w:lineRule="auto"/>
              <w:ind w:left="43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c>
          <w:tcPr>
            <w:tcW w:w="4005" w:type="dxa"/>
            <w:vAlign w:val="top"/>
          </w:tcPr>
          <w:p w14:paraId="30A1470D">
            <w:pPr>
              <w:pStyle w:val="8"/>
              <w:spacing w:before="126" w:line="330" w:lineRule="auto"/>
              <w:ind w:left="51" w:right="49" w:firstLine="69"/>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投标人须提供上一年度至今任意一 个月依法纳税的有效票据凭证复印 件及上一年度任意一个月至今缴纳 社会保险的凭据(专用收据或社会保 险缴纳清单等)复印件并加盖企业公章。</w:t>
            </w:r>
          </w:p>
        </w:tc>
        <w:tc>
          <w:tcPr>
            <w:tcW w:w="1408" w:type="dxa"/>
            <w:gridSpan w:val="2"/>
            <w:vAlign w:val="top"/>
          </w:tcPr>
          <w:p w14:paraId="327203EF">
            <w:pPr>
              <w:spacing w:line="242" w:lineRule="auto"/>
              <w:rPr>
                <w:rFonts w:hint="eastAsia" w:ascii="宋体" w:hAnsi="宋体" w:eastAsia="宋体" w:cs="宋体"/>
                <w:color w:val="000000"/>
                <w:kern w:val="0"/>
                <w:sz w:val="24"/>
                <w:szCs w:val="24"/>
                <w:lang w:val="en-US" w:eastAsia="zh-CN" w:bidi="ar-SA"/>
              </w:rPr>
            </w:pPr>
          </w:p>
          <w:p w14:paraId="3BD7A4C2">
            <w:pPr>
              <w:spacing w:line="242" w:lineRule="auto"/>
              <w:rPr>
                <w:rFonts w:hint="eastAsia" w:ascii="宋体" w:hAnsi="宋体" w:eastAsia="宋体" w:cs="宋体"/>
                <w:color w:val="000000"/>
                <w:kern w:val="0"/>
                <w:sz w:val="24"/>
                <w:szCs w:val="24"/>
                <w:lang w:val="en-US" w:eastAsia="zh-CN" w:bidi="ar-SA"/>
              </w:rPr>
            </w:pPr>
          </w:p>
          <w:p w14:paraId="6ED9C354">
            <w:pPr>
              <w:spacing w:line="242" w:lineRule="auto"/>
              <w:rPr>
                <w:rFonts w:hint="eastAsia" w:ascii="宋体" w:hAnsi="宋体" w:eastAsia="宋体" w:cs="宋体"/>
                <w:color w:val="000000"/>
                <w:kern w:val="0"/>
                <w:sz w:val="24"/>
                <w:szCs w:val="24"/>
                <w:lang w:val="en-US" w:eastAsia="zh-CN" w:bidi="ar-SA"/>
              </w:rPr>
            </w:pPr>
          </w:p>
          <w:p w14:paraId="7FCF9ABF">
            <w:pPr>
              <w:spacing w:line="242" w:lineRule="auto"/>
              <w:rPr>
                <w:rFonts w:hint="eastAsia" w:ascii="宋体" w:hAnsi="宋体" w:eastAsia="宋体" w:cs="宋体"/>
                <w:color w:val="000000"/>
                <w:kern w:val="0"/>
                <w:sz w:val="24"/>
                <w:szCs w:val="24"/>
                <w:lang w:val="en-US" w:eastAsia="zh-CN" w:bidi="ar-SA"/>
              </w:rPr>
            </w:pPr>
          </w:p>
          <w:p w14:paraId="6412E116">
            <w:pPr>
              <w:spacing w:line="242" w:lineRule="auto"/>
              <w:rPr>
                <w:rFonts w:hint="eastAsia" w:ascii="宋体" w:hAnsi="宋体" w:eastAsia="宋体" w:cs="宋体"/>
                <w:color w:val="000000"/>
                <w:kern w:val="0"/>
                <w:sz w:val="24"/>
                <w:szCs w:val="24"/>
                <w:lang w:val="en-US" w:eastAsia="zh-CN" w:bidi="ar-SA"/>
              </w:rPr>
            </w:pPr>
          </w:p>
          <w:p w14:paraId="2E381F1D">
            <w:pPr>
              <w:pStyle w:val="8"/>
              <w:spacing w:before="81" w:line="223" w:lineRule="auto"/>
              <w:ind w:left="576"/>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是</w:t>
            </w:r>
          </w:p>
        </w:tc>
        <w:tc>
          <w:tcPr>
            <w:tcW w:w="2194" w:type="dxa"/>
            <w:vAlign w:val="top"/>
          </w:tcPr>
          <w:p w14:paraId="46E6B7F2">
            <w:pPr>
              <w:rPr>
                <w:rFonts w:hint="eastAsia" w:ascii="宋体" w:hAnsi="宋体" w:eastAsia="宋体" w:cs="宋体"/>
                <w:color w:val="000000"/>
                <w:kern w:val="0"/>
                <w:sz w:val="24"/>
                <w:szCs w:val="24"/>
                <w:lang w:val="en-US" w:eastAsia="zh-CN" w:bidi="ar-SA"/>
              </w:rPr>
            </w:pPr>
          </w:p>
          <w:p w14:paraId="56556B3F">
            <w:pPr>
              <w:rPr>
                <w:rFonts w:hint="eastAsia" w:ascii="宋体" w:hAnsi="宋体" w:eastAsia="宋体" w:cs="宋体"/>
                <w:color w:val="000000"/>
                <w:kern w:val="0"/>
                <w:sz w:val="24"/>
                <w:szCs w:val="24"/>
                <w:lang w:val="en-US" w:eastAsia="zh-CN" w:bidi="ar-SA"/>
              </w:rPr>
            </w:pPr>
          </w:p>
          <w:p w14:paraId="1E3DB1CE">
            <w:pPr>
              <w:spacing w:line="241" w:lineRule="auto"/>
              <w:rPr>
                <w:rFonts w:hint="eastAsia" w:ascii="宋体" w:hAnsi="宋体" w:eastAsia="宋体" w:cs="宋体"/>
                <w:color w:val="000000"/>
                <w:kern w:val="0"/>
                <w:sz w:val="24"/>
                <w:szCs w:val="24"/>
                <w:lang w:val="en-US" w:eastAsia="zh-CN" w:bidi="ar-SA"/>
              </w:rPr>
            </w:pPr>
          </w:p>
          <w:p w14:paraId="33126138">
            <w:pPr>
              <w:spacing w:line="241" w:lineRule="auto"/>
              <w:rPr>
                <w:rFonts w:hint="eastAsia" w:ascii="宋体" w:hAnsi="宋体" w:eastAsia="宋体" w:cs="宋体"/>
                <w:color w:val="000000"/>
                <w:kern w:val="0"/>
                <w:sz w:val="24"/>
                <w:szCs w:val="24"/>
                <w:lang w:val="en-US" w:eastAsia="zh-CN" w:bidi="ar-SA"/>
              </w:rPr>
            </w:pPr>
          </w:p>
          <w:p w14:paraId="7D313AAB">
            <w:pPr>
              <w:spacing w:line="241" w:lineRule="auto"/>
              <w:rPr>
                <w:rFonts w:hint="eastAsia" w:ascii="宋体" w:hAnsi="宋体" w:eastAsia="宋体" w:cs="宋体"/>
                <w:color w:val="000000"/>
                <w:kern w:val="0"/>
                <w:sz w:val="24"/>
                <w:szCs w:val="24"/>
                <w:lang w:val="en-US" w:eastAsia="zh-CN" w:bidi="ar-SA"/>
              </w:rPr>
            </w:pPr>
          </w:p>
          <w:p w14:paraId="3BB6B7E2">
            <w:pPr>
              <w:pStyle w:val="8"/>
              <w:spacing w:before="82" w:line="219" w:lineRule="auto"/>
              <w:ind w:left="278"/>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国家基本要求</w:t>
            </w:r>
          </w:p>
        </w:tc>
      </w:tr>
      <w:tr w14:paraId="58F1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8" w:hRule="atLeast"/>
        </w:trPr>
        <w:tc>
          <w:tcPr>
            <w:tcW w:w="1044" w:type="dxa"/>
            <w:vAlign w:val="top"/>
          </w:tcPr>
          <w:p w14:paraId="778A7C99">
            <w:pPr>
              <w:spacing w:line="245" w:lineRule="auto"/>
              <w:rPr>
                <w:rFonts w:hint="eastAsia" w:ascii="宋体" w:hAnsi="宋体" w:eastAsia="宋体" w:cs="宋体"/>
                <w:color w:val="000000"/>
                <w:kern w:val="0"/>
                <w:sz w:val="24"/>
                <w:szCs w:val="24"/>
                <w:lang w:val="en-US" w:eastAsia="zh-CN" w:bidi="ar-SA"/>
              </w:rPr>
            </w:pPr>
          </w:p>
          <w:p w14:paraId="7526E48C">
            <w:pPr>
              <w:spacing w:line="245" w:lineRule="auto"/>
              <w:rPr>
                <w:rFonts w:hint="eastAsia" w:ascii="宋体" w:hAnsi="宋体" w:eastAsia="宋体" w:cs="宋体"/>
                <w:color w:val="000000"/>
                <w:kern w:val="0"/>
                <w:sz w:val="24"/>
                <w:szCs w:val="24"/>
                <w:lang w:val="en-US" w:eastAsia="zh-CN" w:bidi="ar-SA"/>
              </w:rPr>
            </w:pPr>
          </w:p>
          <w:p w14:paraId="62B340D4">
            <w:pPr>
              <w:spacing w:line="245" w:lineRule="auto"/>
              <w:rPr>
                <w:rFonts w:hint="eastAsia" w:ascii="宋体" w:hAnsi="宋体" w:eastAsia="宋体" w:cs="宋体"/>
                <w:color w:val="000000"/>
                <w:kern w:val="0"/>
                <w:sz w:val="24"/>
                <w:szCs w:val="24"/>
                <w:lang w:val="en-US" w:eastAsia="zh-CN" w:bidi="ar-SA"/>
              </w:rPr>
            </w:pPr>
          </w:p>
          <w:p w14:paraId="5D8D79E3">
            <w:pPr>
              <w:spacing w:line="245" w:lineRule="auto"/>
              <w:rPr>
                <w:rFonts w:hint="eastAsia" w:ascii="宋体" w:hAnsi="宋体" w:eastAsia="宋体" w:cs="宋体"/>
                <w:color w:val="000000"/>
                <w:kern w:val="0"/>
                <w:sz w:val="24"/>
                <w:szCs w:val="24"/>
                <w:lang w:val="en-US" w:eastAsia="zh-CN" w:bidi="ar-SA"/>
              </w:rPr>
            </w:pPr>
          </w:p>
          <w:p w14:paraId="55EDB26A">
            <w:pPr>
              <w:spacing w:line="245" w:lineRule="auto"/>
              <w:rPr>
                <w:rFonts w:hint="eastAsia" w:ascii="宋体" w:hAnsi="宋体" w:eastAsia="宋体" w:cs="宋体"/>
                <w:color w:val="000000"/>
                <w:kern w:val="0"/>
                <w:sz w:val="24"/>
                <w:szCs w:val="24"/>
                <w:lang w:val="en-US" w:eastAsia="zh-CN" w:bidi="ar-SA"/>
              </w:rPr>
            </w:pPr>
          </w:p>
          <w:p w14:paraId="0A4869BE">
            <w:pPr>
              <w:spacing w:line="245" w:lineRule="auto"/>
              <w:rPr>
                <w:rFonts w:hint="eastAsia" w:ascii="宋体" w:hAnsi="宋体" w:eastAsia="宋体" w:cs="宋体"/>
                <w:color w:val="000000"/>
                <w:kern w:val="0"/>
                <w:sz w:val="24"/>
                <w:szCs w:val="24"/>
                <w:lang w:val="en-US" w:eastAsia="zh-CN" w:bidi="ar-SA"/>
              </w:rPr>
            </w:pPr>
          </w:p>
          <w:p w14:paraId="46E4CF99">
            <w:pPr>
              <w:pStyle w:val="8"/>
              <w:spacing w:before="81"/>
              <w:ind w:left="43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4005" w:type="dxa"/>
            <w:vAlign w:val="top"/>
          </w:tcPr>
          <w:p w14:paraId="07DD6FD9">
            <w:pPr>
              <w:pStyle w:val="8"/>
              <w:spacing w:before="121" w:line="334" w:lineRule="auto"/>
              <w:ind w:left="50" w:hanging="3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投标人若为法定代表人参加投标，须提供法定代表人身份证明书(加盖投标单位公章)和法定代表人身份证原 件；投标人若为投标人代表参加投标，须提供法定代表人授权书(由法定代表人签字或盖章)和投标人代表身份证原件。</w:t>
            </w:r>
          </w:p>
        </w:tc>
        <w:tc>
          <w:tcPr>
            <w:tcW w:w="1408" w:type="dxa"/>
            <w:gridSpan w:val="2"/>
            <w:vAlign w:val="top"/>
          </w:tcPr>
          <w:p w14:paraId="79BAECB9">
            <w:pPr>
              <w:spacing w:line="241" w:lineRule="auto"/>
              <w:rPr>
                <w:rFonts w:hint="eastAsia" w:ascii="宋体" w:hAnsi="宋体" w:eastAsia="宋体" w:cs="宋体"/>
                <w:color w:val="000000"/>
                <w:kern w:val="0"/>
                <w:sz w:val="24"/>
                <w:szCs w:val="24"/>
                <w:lang w:val="en-US" w:eastAsia="zh-CN" w:bidi="ar-SA"/>
              </w:rPr>
            </w:pPr>
          </w:p>
          <w:p w14:paraId="701AEEC9">
            <w:pPr>
              <w:spacing w:line="241" w:lineRule="auto"/>
              <w:rPr>
                <w:rFonts w:hint="eastAsia" w:ascii="宋体" w:hAnsi="宋体" w:eastAsia="宋体" w:cs="宋体"/>
                <w:color w:val="000000"/>
                <w:kern w:val="0"/>
                <w:sz w:val="24"/>
                <w:szCs w:val="24"/>
                <w:lang w:val="en-US" w:eastAsia="zh-CN" w:bidi="ar-SA"/>
              </w:rPr>
            </w:pPr>
          </w:p>
          <w:p w14:paraId="569801AF">
            <w:pPr>
              <w:spacing w:line="242" w:lineRule="auto"/>
              <w:rPr>
                <w:rFonts w:hint="eastAsia" w:ascii="宋体" w:hAnsi="宋体" w:eastAsia="宋体" w:cs="宋体"/>
                <w:color w:val="000000"/>
                <w:kern w:val="0"/>
                <w:sz w:val="24"/>
                <w:szCs w:val="24"/>
                <w:lang w:val="en-US" w:eastAsia="zh-CN" w:bidi="ar-SA"/>
              </w:rPr>
            </w:pPr>
          </w:p>
          <w:p w14:paraId="518382AE">
            <w:pPr>
              <w:spacing w:line="242" w:lineRule="auto"/>
              <w:rPr>
                <w:rFonts w:hint="eastAsia" w:ascii="宋体" w:hAnsi="宋体" w:eastAsia="宋体" w:cs="宋体"/>
                <w:color w:val="000000"/>
                <w:kern w:val="0"/>
                <w:sz w:val="24"/>
                <w:szCs w:val="24"/>
                <w:lang w:val="en-US" w:eastAsia="zh-CN" w:bidi="ar-SA"/>
              </w:rPr>
            </w:pPr>
          </w:p>
          <w:p w14:paraId="7508F8A1">
            <w:pPr>
              <w:spacing w:line="242" w:lineRule="auto"/>
              <w:rPr>
                <w:rFonts w:hint="eastAsia" w:ascii="宋体" w:hAnsi="宋体" w:eastAsia="宋体" w:cs="宋体"/>
                <w:color w:val="000000"/>
                <w:kern w:val="0"/>
                <w:sz w:val="24"/>
                <w:szCs w:val="24"/>
                <w:lang w:val="en-US" w:eastAsia="zh-CN" w:bidi="ar-SA"/>
              </w:rPr>
            </w:pPr>
          </w:p>
          <w:p w14:paraId="54A8EFAE">
            <w:pPr>
              <w:spacing w:line="242" w:lineRule="auto"/>
              <w:rPr>
                <w:rFonts w:hint="eastAsia" w:ascii="宋体" w:hAnsi="宋体" w:eastAsia="宋体" w:cs="宋体"/>
                <w:color w:val="000000"/>
                <w:kern w:val="0"/>
                <w:sz w:val="24"/>
                <w:szCs w:val="24"/>
                <w:lang w:val="en-US" w:eastAsia="zh-CN" w:bidi="ar-SA"/>
              </w:rPr>
            </w:pPr>
          </w:p>
          <w:p w14:paraId="6FDFA78B">
            <w:pPr>
              <w:pStyle w:val="8"/>
              <w:spacing w:before="81" w:line="223" w:lineRule="auto"/>
              <w:ind w:left="576"/>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是</w:t>
            </w:r>
          </w:p>
        </w:tc>
        <w:tc>
          <w:tcPr>
            <w:tcW w:w="2194" w:type="dxa"/>
            <w:vAlign w:val="top"/>
          </w:tcPr>
          <w:p w14:paraId="16A35726">
            <w:pPr>
              <w:rPr>
                <w:rFonts w:hint="eastAsia" w:ascii="宋体" w:hAnsi="宋体" w:eastAsia="宋体" w:cs="宋体"/>
                <w:color w:val="000000"/>
                <w:kern w:val="0"/>
                <w:sz w:val="24"/>
                <w:szCs w:val="24"/>
                <w:lang w:val="en-US" w:eastAsia="zh-CN" w:bidi="ar-SA"/>
              </w:rPr>
            </w:pPr>
          </w:p>
          <w:p w14:paraId="3164A4D7">
            <w:pPr>
              <w:rPr>
                <w:rFonts w:hint="eastAsia" w:ascii="宋体" w:hAnsi="宋体" w:eastAsia="宋体" w:cs="宋体"/>
                <w:color w:val="000000"/>
                <w:kern w:val="0"/>
                <w:sz w:val="24"/>
                <w:szCs w:val="24"/>
                <w:lang w:val="en-US" w:eastAsia="zh-CN" w:bidi="ar-SA"/>
              </w:rPr>
            </w:pPr>
          </w:p>
          <w:p w14:paraId="09164DE8">
            <w:pPr>
              <w:spacing w:line="241" w:lineRule="auto"/>
              <w:rPr>
                <w:rFonts w:hint="eastAsia" w:ascii="宋体" w:hAnsi="宋体" w:eastAsia="宋体" w:cs="宋体"/>
                <w:color w:val="000000"/>
                <w:kern w:val="0"/>
                <w:sz w:val="24"/>
                <w:szCs w:val="24"/>
                <w:lang w:val="en-US" w:eastAsia="zh-CN" w:bidi="ar-SA"/>
              </w:rPr>
            </w:pPr>
          </w:p>
          <w:p w14:paraId="116B3141">
            <w:pPr>
              <w:spacing w:line="241" w:lineRule="auto"/>
              <w:rPr>
                <w:rFonts w:hint="eastAsia" w:ascii="宋体" w:hAnsi="宋体" w:eastAsia="宋体" w:cs="宋体"/>
                <w:color w:val="000000"/>
                <w:kern w:val="0"/>
                <w:sz w:val="24"/>
                <w:szCs w:val="24"/>
                <w:lang w:val="en-US" w:eastAsia="zh-CN" w:bidi="ar-SA"/>
              </w:rPr>
            </w:pPr>
          </w:p>
          <w:p w14:paraId="7F03C5E6">
            <w:pPr>
              <w:spacing w:line="241" w:lineRule="auto"/>
              <w:rPr>
                <w:rFonts w:hint="eastAsia" w:ascii="宋体" w:hAnsi="宋体" w:eastAsia="宋体" w:cs="宋体"/>
                <w:color w:val="000000"/>
                <w:kern w:val="0"/>
                <w:sz w:val="24"/>
                <w:szCs w:val="24"/>
                <w:lang w:val="en-US" w:eastAsia="zh-CN" w:bidi="ar-SA"/>
              </w:rPr>
            </w:pPr>
          </w:p>
          <w:p w14:paraId="594C95AE">
            <w:pPr>
              <w:spacing w:line="241" w:lineRule="auto"/>
              <w:rPr>
                <w:rFonts w:hint="eastAsia" w:ascii="宋体" w:hAnsi="宋体" w:eastAsia="宋体" w:cs="宋体"/>
                <w:color w:val="000000"/>
                <w:kern w:val="0"/>
                <w:sz w:val="24"/>
                <w:szCs w:val="24"/>
                <w:lang w:val="en-US" w:eastAsia="zh-CN" w:bidi="ar-SA"/>
              </w:rPr>
            </w:pPr>
          </w:p>
          <w:p w14:paraId="2CD64EB0">
            <w:pPr>
              <w:pStyle w:val="8"/>
              <w:spacing w:before="81" w:line="219" w:lineRule="auto"/>
              <w:ind w:left="278"/>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国家基本要求</w:t>
            </w:r>
          </w:p>
        </w:tc>
      </w:tr>
      <w:tr w14:paraId="1F70C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2" w:hRule="atLeast"/>
        </w:trPr>
        <w:tc>
          <w:tcPr>
            <w:tcW w:w="1044" w:type="dxa"/>
            <w:vAlign w:val="top"/>
          </w:tcPr>
          <w:p w14:paraId="2B3ACF64">
            <w:pPr>
              <w:spacing w:line="243" w:lineRule="auto"/>
              <w:rPr>
                <w:rFonts w:hint="eastAsia" w:ascii="宋体" w:hAnsi="宋体" w:eastAsia="宋体" w:cs="宋体"/>
                <w:color w:val="000000"/>
                <w:kern w:val="0"/>
                <w:sz w:val="24"/>
                <w:szCs w:val="24"/>
                <w:lang w:val="en-US" w:eastAsia="zh-CN" w:bidi="ar-SA"/>
              </w:rPr>
            </w:pPr>
          </w:p>
          <w:p w14:paraId="320AB013">
            <w:pPr>
              <w:spacing w:line="243" w:lineRule="auto"/>
              <w:rPr>
                <w:rFonts w:hint="eastAsia" w:ascii="宋体" w:hAnsi="宋体" w:eastAsia="宋体" w:cs="宋体"/>
                <w:color w:val="000000"/>
                <w:kern w:val="0"/>
                <w:sz w:val="24"/>
                <w:szCs w:val="24"/>
                <w:lang w:val="en-US" w:eastAsia="zh-CN" w:bidi="ar-SA"/>
              </w:rPr>
            </w:pPr>
          </w:p>
          <w:p w14:paraId="0CA8F4BD">
            <w:pPr>
              <w:spacing w:line="244" w:lineRule="auto"/>
              <w:rPr>
                <w:rFonts w:hint="eastAsia" w:ascii="宋体" w:hAnsi="宋体" w:eastAsia="宋体" w:cs="宋体"/>
                <w:color w:val="000000"/>
                <w:kern w:val="0"/>
                <w:sz w:val="24"/>
                <w:szCs w:val="24"/>
                <w:lang w:val="en-US" w:eastAsia="zh-CN" w:bidi="ar-SA"/>
              </w:rPr>
            </w:pPr>
          </w:p>
          <w:p w14:paraId="766DB98C">
            <w:pPr>
              <w:spacing w:line="244" w:lineRule="auto"/>
              <w:rPr>
                <w:rFonts w:hint="eastAsia" w:ascii="宋体" w:hAnsi="宋体" w:eastAsia="宋体" w:cs="宋体"/>
                <w:color w:val="000000"/>
                <w:kern w:val="0"/>
                <w:sz w:val="24"/>
                <w:szCs w:val="24"/>
                <w:lang w:val="en-US" w:eastAsia="zh-CN" w:bidi="ar-SA"/>
              </w:rPr>
            </w:pPr>
          </w:p>
          <w:p w14:paraId="763EEA4F">
            <w:pPr>
              <w:spacing w:line="244" w:lineRule="auto"/>
              <w:rPr>
                <w:rFonts w:hint="eastAsia" w:ascii="宋体" w:hAnsi="宋体" w:eastAsia="宋体" w:cs="宋体"/>
                <w:color w:val="000000"/>
                <w:kern w:val="0"/>
                <w:sz w:val="24"/>
                <w:szCs w:val="24"/>
                <w:lang w:val="en-US" w:eastAsia="zh-CN" w:bidi="ar-SA"/>
              </w:rPr>
            </w:pPr>
          </w:p>
          <w:p w14:paraId="374AF5F5">
            <w:pPr>
              <w:spacing w:line="244" w:lineRule="auto"/>
              <w:rPr>
                <w:rFonts w:hint="eastAsia" w:ascii="宋体" w:hAnsi="宋体" w:eastAsia="宋体" w:cs="宋体"/>
                <w:color w:val="000000"/>
                <w:kern w:val="0"/>
                <w:sz w:val="24"/>
                <w:szCs w:val="24"/>
                <w:lang w:val="en-US" w:eastAsia="zh-CN" w:bidi="ar-SA"/>
              </w:rPr>
            </w:pPr>
          </w:p>
          <w:p w14:paraId="2D66CECB">
            <w:pPr>
              <w:pStyle w:val="8"/>
              <w:spacing w:before="81"/>
              <w:ind w:left="43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c>
          <w:tcPr>
            <w:tcW w:w="4005" w:type="dxa"/>
            <w:vAlign w:val="top"/>
          </w:tcPr>
          <w:p w14:paraId="21DF0B0F">
            <w:pPr>
              <w:pStyle w:val="8"/>
              <w:spacing w:before="115" w:line="334" w:lineRule="auto"/>
              <w:ind w:right="1"/>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投标人须提供在近三年经营活动中 没有重大违法记录的书面声明函并  加盖企业公章。(重大违法记录是指 投标人因违法经营受到刑事处罚或  责令停产停业、吊销许可证或者执  照、较大数额罚款等行政处罚。截至 开标日成立不足3年的投标人可提供自成立以来无重大违法记录的书面 声明)</w:t>
            </w:r>
          </w:p>
        </w:tc>
        <w:tc>
          <w:tcPr>
            <w:tcW w:w="1408" w:type="dxa"/>
            <w:gridSpan w:val="2"/>
            <w:vAlign w:val="top"/>
          </w:tcPr>
          <w:p w14:paraId="2FE420A9">
            <w:pPr>
              <w:rPr>
                <w:rFonts w:hint="eastAsia" w:ascii="宋体" w:hAnsi="宋体" w:eastAsia="宋体" w:cs="宋体"/>
                <w:color w:val="000000"/>
                <w:kern w:val="0"/>
                <w:sz w:val="24"/>
                <w:szCs w:val="24"/>
                <w:lang w:val="en-US" w:eastAsia="zh-CN" w:bidi="ar-SA"/>
              </w:rPr>
            </w:pPr>
          </w:p>
          <w:p w14:paraId="0EB0BC91">
            <w:pPr>
              <w:rPr>
                <w:rFonts w:hint="eastAsia" w:ascii="宋体" w:hAnsi="宋体" w:eastAsia="宋体" w:cs="宋体"/>
                <w:color w:val="000000"/>
                <w:kern w:val="0"/>
                <w:sz w:val="24"/>
                <w:szCs w:val="24"/>
                <w:lang w:val="en-US" w:eastAsia="zh-CN" w:bidi="ar-SA"/>
              </w:rPr>
            </w:pPr>
          </w:p>
          <w:p w14:paraId="421CF9CC">
            <w:pPr>
              <w:rPr>
                <w:rFonts w:hint="eastAsia" w:ascii="宋体" w:hAnsi="宋体" w:eastAsia="宋体" w:cs="宋体"/>
                <w:color w:val="000000"/>
                <w:kern w:val="0"/>
                <w:sz w:val="24"/>
                <w:szCs w:val="24"/>
                <w:lang w:val="en-US" w:eastAsia="zh-CN" w:bidi="ar-SA"/>
              </w:rPr>
            </w:pPr>
          </w:p>
          <w:p w14:paraId="0A4390FD">
            <w:pPr>
              <w:rPr>
                <w:rFonts w:hint="eastAsia" w:ascii="宋体" w:hAnsi="宋体" w:eastAsia="宋体" w:cs="宋体"/>
                <w:color w:val="000000"/>
                <w:kern w:val="0"/>
                <w:sz w:val="24"/>
                <w:szCs w:val="24"/>
                <w:lang w:val="en-US" w:eastAsia="zh-CN" w:bidi="ar-SA"/>
              </w:rPr>
            </w:pPr>
          </w:p>
          <w:p w14:paraId="309D8663">
            <w:pPr>
              <w:spacing w:line="241" w:lineRule="auto"/>
              <w:rPr>
                <w:rFonts w:hint="eastAsia" w:ascii="宋体" w:hAnsi="宋体" w:eastAsia="宋体" w:cs="宋体"/>
                <w:color w:val="000000"/>
                <w:kern w:val="0"/>
                <w:sz w:val="24"/>
                <w:szCs w:val="24"/>
                <w:lang w:val="en-US" w:eastAsia="zh-CN" w:bidi="ar-SA"/>
              </w:rPr>
            </w:pPr>
          </w:p>
          <w:p w14:paraId="327B5176">
            <w:pPr>
              <w:spacing w:line="241" w:lineRule="auto"/>
              <w:rPr>
                <w:rFonts w:hint="eastAsia" w:ascii="宋体" w:hAnsi="宋体" w:eastAsia="宋体" w:cs="宋体"/>
                <w:color w:val="000000"/>
                <w:kern w:val="0"/>
                <w:sz w:val="24"/>
                <w:szCs w:val="24"/>
                <w:lang w:val="en-US" w:eastAsia="zh-CN" w:bidi="ar-SA"/>
              </w:rPr>
            </w:pPr>
          </w:p>
          <w:p w14:paraId="3E6D332C">
            <w:pPr>
              <w:pStyle w:val="8"/>
              <w:spacing w:before="81" w:line="223" w:lineRule="auto"/>
              <w:ind w:left="576"/>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是</w:t>
            </w:r>
          </w:p>
        </w:tc>
        <w:tc>
          <w:tcPr>
            <w:tcW w:w="2194" w:type="dxa"/>
            <w:vAlign w:val="top"/>
          </w:tcPr>
          <w:p w14:paraId="2145E23D">
            <w:pPr>
              <w:spacing w:line="287" w:lineRule="auto"/>
              <w:rPr>
                <w:rFonts w:hint="eastAsia" w:ascii="宋体" w:hAnsi="宋体" w:eastAsia="宋体" w:cs="宋体"/>
                <w:color w:val="000000"/>
                <w:kern w:val="0"/>
                <w:sz w:val="24"/>
                <w:szCs w:val="24"/>
                <w:lang w:val="en-US" w:eastAsia="zh-CN" w:bidi="ar-SA"/>
              </w:rPr>
            </w:pPr>
          </w:p>
          <w:p w14:paraId="481007A4">
            <w:pPr>
              <w:spacing w:line="287" w:lineRule="auto"/>
              <w:rPr>
                <w:rFonts w:hint="eastAsia" w:ascii="宋体" w:hAnsi="宋体" w:eastAsia="宋体" w:cs="宋体"/>
                <w:color w:val="000000"/>
                <w:kern w:val="0"/>
                <w:sz w:val="24"/>
                <w:szCs w:val="24"/>
                <w:lang w:val="en-US" w:eastAsia="zh-CN" w:bidi="ar-SA"/>
              </w:rPr>
            </w:pPr>
          </w:p>
          <w:p w14:paraId="54C3C57E">
            <w:pPr>
              <w:spacing w:line="287" w:lineRule="auto"/>
              <w:rPr>
                <w:rFonts w:hint="eastAsia" w:ascii="宋体" w:hAnsi="宋体" w:eastAsia="宋体" w:cs="宋体"/>
                <w:color w:val="000000"/>
                <w:kern w:val="0"/>
                <w:sz w:val="24"/>
                <w:szCs w:val="24"/>
                <w:lang w:val="en-US" w:eastAsia="zh-CN" w:bidi="ar-SA"/>
              </w:rPr>
            </w:pPr>
          </w:p>
          <w:p w14:paraId="2D1AEA31">
            <w:pPr>
              <w:spacing w:line="287" w:lineRule="auto"/>
              <w:rPr>
                <w:rFonts w:hint="eastAsia" w:ascii="宋体" w:hAnsi="宋体" w:eastAsia="宋体" w:cs="宋体"/>
                <w:color w:val="000000"/>
                <w:kern w:val="0"/>
                <w:sz w:val="24"/>
                <w:szCs w:val="24"/>
                <w:lang w:val="en-US" w:eastAsia="zh-CN" w:bidi="ar-SA"/>
              </w:rPr>
            </w:pPr>
          </w:p>
          <w:p w14:paraId="65296127">
            <w:pPr>
              <w:spacing w:line="288" w:lineRule="auto"/>
              <w:rPr>
                <w:rFonts w:hint="eastAsia" w:ascii="宋体" w:hAnsi="宋体" w:eastAsia="宋体" w:cs="宋体"/>
                <w:color w:val="000000"/>
                <w:kern w:val="0"/>
                <w:sz w:val="24"/>
                <w:szCs w:val="24"/>
                <w:lang w:val="en-US" w:eastAsia="zh-CN" w:bidi="ar-SA"/>
              </w:rPr>
            </w:pPr>
          </w:p>
          <w:p w14:paraId="6606CDD9">
            <w:pPr>
              <w:pStyle w:val="8"/>
              <w:spacing w:before="81" w:line="219" w:lineRule="auto"/>
              <w:ind w:left="278"/>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国家基本要求</w:t>
            </w:r>
          </w:p>
        </w:tc>
      </w:tr>
    </w:tbl>
    <w:p w14:paraId="330809FF">
      <w:pPr>
        <w:rPr>
          <w:rFonts w:ascii="Arial"/>
          <w:sz w:val="21"/>
        </w:rPr>
      </w:pPr>
    </w:p>
    <w:p w14:paraId="13CB00C0">
      <w:pPr>
        <w:numPr>
          <w:ilvl w:val="0"/>
          <w:numId w:val="1"/>
        </w:numPr>
        <w:spacing w:line="360" w:lineRule="auto"/>
        <w:ind w:firstLine="482" w:firstLineChars="200"/>
        <w:jc w:val="left"/>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技术要求</w:t>
      </w:r>
    </w:p>
    <w:p w14:paraId="3B781F0E">
      <w:pPr>
        <w:pStyle w:val="5"/>
        <w:spacing w:before="264" w:line="282" w:lineRule="auto"/>
        <w:ind w:left="94" w:right="519" w:firstLine="390"/>
        <w:rPr>
          <w:sz w:val="23"/>
          <w:szCs w:val="23"/>
        </w:rPr>
      </w:pPr>
      <w:r>
        <w:rPr>
          <w:spacing w:val="8"/>
          <w:sz w:val="23"/>
          <w:szCs w:val="23"/>
        </w:rPr>
        <w:t>1.投标人能够把握和理解国家对该类项目的具体要求，对等级保护政策标准</w:t>
      </w:r>
      <w:r>
        <w:rPr>
          <w:spacing w:val="6"/>
          <w:sz w:val="23"/>
          <w:szCs w:val="23"/>
        </w:rPr>
        <w:t>本身有较深的认识。</w:t>
      </w:r>
    </w:p>
    <w:p w14:paraId="695ADB99">
      <w:pPr>
        <w:pStyle w:val="5"/>
        <w:spacing w:before="239" w:line="290" w:lineRule="auto"/>
        <w:ind w:left="94" w:right="491" w:firstLine="390"/>
        <w:rPr>
          <w:sz w:val="23"/>
          <w:szCs w:val="23"/>
        </w:rPr>
      </w:pPr>
      <w:r>
        <w:rPr>
          <w:spacing w:val="9"/>
          <w:sz w:val="23"/>
          <w:szCs w:val="23"/>
        </w:rPr>
        <w:t>2.投标人应具有完善的工作流程，有计划、按步骤地开展测评工作，保证测</w:t>
      </w:r>
      <w:r>
        <w:rPr>
          <w:spacing w:val="7"/>
          <w:sz w:val="23"/>
          <w:szCs w:val="23"/>
        </w:rPr>
        <w:t>评活动的每个环节都得到有效的控制。</w:t>
      </w:r>
    </w:p>
    <w:p w14:paraId="52439617">
      <w:pPr>
        <w:pStyle w:val="5"/>
        <w:spacing w:before="217" w:line="294" w:lineRule="auto"/>
        <w:ind w:left="94" w:right="500" w:firstLine="390"/>
        <w:rPr>
          <w:sz w:val="23"/>
          <w:szCs w:val="23"/>
        </w:rPr>
      </w:pPr>
      <w:r>
        <w:rPr>
          <w:spacing w:val="9"/>
          <w:sz w:val="23"/>
          <w:szCs w:val="23"/>
        </w:rPr>
        <w:t>3.为维护我单位利益，投标人在实际测评工作中对我单位</w:t>
      </w:r>
      <w:r>
        <w:rPr>
          <w:spacing w:val="8"/>
          <w:sz w:val="23"/>
          <w:szCs w:val="23"/>
        </w:rPr>
        <w:t>的系统、信息、数据有安全保密的义务，进场时必须签订保密协议。</w:t>
      </w:r>
    </w:p>
    <w:p w14:paraId="0720AA2C">
      <w:pPr>
        <w:pStyle w:val="5"/>
        <w:spacing w:before="216" w:line="283" w:lineRule="auto"/>
        <w:ind w:left="94" w:right="512" w:firstLine="390"/>
        <w:rPr>
          <w:sz w:val="23"/>
          <w:szCs w:val="23"/>
        </w:rPr>
      </w:pPr>
      <w:r>
        <w:rPr>
          <w:spacing w:val="8"/>
          <w:sz w:val="23"/>
          <w:szCs w:val="23"/>
        </w:rPr>
        <w:t>4.投标人应具有良好的质量控制的能力和质量管理体系，以保证测评工作的</w:t>
      </w:r>
      <w:r>
        <w:rPr>
          <w:spacing w:val="6"/>
          <w:sz w:val="23"/>
          <w:szCs w:val="23"/>
        </w:rPr>
        <w:t>客观、公正、安全。</w:t>
      </w:r>
    </w:p>
    <w:p w14:paraId="38DD786E">
      <w:pPr>
        <w:pStyle w:val="5"/>
        <w:spacing w:before="225" w:line="286" w:lineRule="auto"/>
        <w:ind w:left="94" w:right="518" w:firstLine="390"/>
        <w:rPr>
          <w:sz w:val="23"/>
          <w:szCs w:val="23"/>
        </w:rPr>
      </w:pPr>
      <w:r>
        <w:rPr>
          <w:spacing w:val="8"/>
          <w:sz w:val="23"/>
          <w:szCs w:val="23"/>
        </w:rPr>
        <w:t>5.投标人应具有完善的项目管理经验，包括制定项目汇报的流程、项目问题</w:t>
      </w:r>
      <w:r>
        <w:rPr>
          <w:spacing w:val="5"/>
          <w:sz w:val="23"/>
          <w:szCs w:val="23"/>
        </w:rPr>
        <w:t>管理流程等。</w:t>
      </w:r>
    </w:p>
    <w:p w14:paraId="3876C2B4">
      <w:pPr>
        <w:pStyle w:val="5"/>
        <w:spacing w:before="224" w:line="295" w:lineRule="auto"/>
        <w:ind w:left="94" w:right="499" w:firstLine="390"/>
        <w:rPr>
          <w:sz w:val="23"/>
          <w:szCs w:val="23"/>
        </w:rPr>
      </w:pPr>
      <w:r>
        <w:rPr>
          <w:spacing w:val="9"/>
          <w:sz w:val="23"/>
          <w:szCs w:val="23"/>
        </w:rPr>
        <w:t>6.投标人在现场测评环节过程中不能影响采购人的各项系统</w:t>
      </w:r>
      <w:r>
        <w:rPr>
          <w:spacing w:val="8"/>
          <w:sz w:val="23"/>
          <w:szCs w:val="23"/>
        </w:rPr>
        <w:t>正常运行，针对工具测试等环节需要做好相应的应急预案以及操作规范。</w:t>
      </w:r>
    </w:p>
    <w:p w14:paraId="2EBB82CE">
      <w:pPr>
        <w:pStyle w:val="5"/>
        <w:spacing w:before="198" w:line="302" w:lineRule="auto"/>
        <w:ind w:left="94" w:right="395" w:firstLine="390"/>
        <w:rPr>
          <w:sz w:val="23"/>
          <w:szCs w:val="23"/>
        </w:rPr>
      </w:pPr>
      <w:r>
        <w:rPr>
          <w:spacing w:val="7"/>
          <w:sz w:val="23"/>
          <w:szCs w:val="23"/>
        </w:rPr>
        <w:t>7.投标人应具有完善的网络安全等级保护2.0测评方案，包括安全物</w:t>
      </w:r>
      <w:r>
        <w:rPr>
          <w:spacing w:val="6"/>
          <w:sz w:val="23"/>
          <w:szCs w:val="23"/>
        </w:rPr>
        <w:t>理环境、</w:t>
      </w:r>
      <w:r>
        <w:rPr>
          <w:spacing w:val="3"/>
          <w:sz w:val="23"/>
          <w:szCs w:val="23"/>
        </w:rPr>
        <w:t>安全通信网络、安全区域边界、安全计算环境、安全管理中心、安全管</w:t>
      </w:r>
      <w:r>
        <w:rPr>
          <w:spacing w:val="2"/>
          <w:sz w:val="23"/>
          <w:szCs w:val="23"/>
        </w:rPr>
        <w:t>理制度等。</w:t>
      </w:r>
    </w:p>
    <w:p w14:paraId="36FA6D20">
      <w:pPr>
        <w:pStyle w:val="5"/>
        <w:spacing w:before="199" w:line="313" w:lineRule="auto"/>
        <w:ind w:left="94" w:right="478" w:firstLine="390"/>
        <w:rPr>
          <w:spacing w:val="4"/>
          <w:sz w:val="23"/>
          <w:szCs w:val="23"/>
        </w:rPr>
      </w:pPr>
      <w:r>
        <w:rPr>
          <w:spacing w:val="18"/>
          <w:sz w:val="23"/>
          <w:szCs w:val="23"/>
        </w:rPr>
        <w:t>8.</w:t>
      </w:r>
      <w:r>
        <w:rPr>
          <w:spacing w:val="-65"/>
          <w:sz w:val="23"/>
          <w:szCs w:val="23"/>
        </w:rPr>
        <w:t xml:space="preserve"> </w:t>
      </w:r>
      <w:r>
        <w:rPr>
          <w:spacing w:val="18"/>
          <w:sz w:val="23"/>
          <w:szCs w:val="23"/>
        </w:rPr>
        <w:t>投标人的服务团队至少配备</w:t>
      </w:r>
      <w:r>
        <w:rPr>
          <w:spacing w:val="17"/>
          <w:sz w:val="23"/>
          <w:szCs w:val="23"/>
        </w:rPr>
        <w:t>2名中级测评师及2名初级</w:t>
      </w:r>
      <w:r>
        <w:rPr>
          <w:spacing w:val="11"/>
          <w:sz w:val="23"/>
          <w:szCs w:val="23"/>
        </w:rPr>
        <w:t>测评师，其中项目经理具有中级及以上测评师证书和</w:t>
      </w:r>
      <w:r>
        <w:rPr>
          <w:rFonts w:ascii="Times New Roman" w:hAnsi="Times New Roman" w:eastAsia="Times New Roman" w:cs="Times New Roman"/>
          <w:sz w:val="23"/>
          <w:szCs w:val="23"/>
        </w:rPr>
        <w:t>CSPM</w:t>
      </w:r>
      <w:r>
        <w:rPr>
          <w:spacing w:val="11"/>
          <w:sz w:val="23"/>
          <w:szCs w:val="23"/>
        </w:rPr>
        <w:t>(项目管理专业人员</w:t>
      </w:r>
      <w:r>
        <w:rPr>
          <w:spacing w:val="4"/>
          <w:sz w:val="23"/>
          <w:szCs w:val="23"/>
        </w:rPr>
        <w:t>能力等级证书)。</w:t>
      </w:r>
    </w:p>
    <w:p w14:paraId="58BBEF5F">
      <w:pPr>
        <w:rPr>
          <w:spacing w:val="4"/>
          <w:sz w:val="23"/>
          <w:szCs w:val="23"/>
        </w:rPr>
      </w:pPr>
      <w:r>
        <w:rPr>
          <w:spacing w:val="4"/>
          <w:sz w:val="23"/>
          <w:szCs w:val="23"/>
        </w:rPr>
        <w:br w:type="page"/>
      </w:r>
    </w:p>
    <w:p w14:paraId="3A0671D2">
      <w:pPr>
        <w:numPr>
          <w:ilvl w:val="0"/>
          <w:numId w:val="1"/>
        </w:numPr>
        <w:spacing w:line="360" w:lineRule="auto"/>
        <w:ind w:firstLine="482" w:firstLineChars="200"/>
        <w:jc w:val="left"/>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验收标准</w:t>
      </w:r>
    </w:p>
    <w:p w14:paraId="4492457D">
      <w:pPr>
        <w:pStyle w:val="5"/>
        <w:spacing w:before="254" w:line="354" w:lineRule="auto"/>
        <w:ind w:left="94" w:right="500" w:firstLine="390"/>
        <w:rPr>
          <w:sz w:val="23"/>
          <w:szCs w:val="23"/>
        </w:rPr>
      </w:pPr>
      <w:r>
        <w:rPr>
          <w:spacing w:val="9"/>
          <w:sz w:val="23"/>
          <w:szCs w:val="23"/>
        </w:rPr>
        <w:t>等保测评机构完成项目需求书中所述等保测评服务内容，并提供符合国家标准的等保测评报告书面版本及电子文档。</w:t>
      </w:r>
    </w:p>
    <w:p w14:paraId="77A5E223">
      <w:pPr>
        <w:numPr>
          <w:ilvl w:val="0"/>
          <w:numId w:val="1"/>
        </w:numPr>
        <w:spacing w:line="360" w:lineRule="auto"/>
        <w:ind w:firstLine="482" w:firstLineChars="200"/>
        <w:jc w:val="left"/>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付款方式</w:t>
      </w:r>
    </w:p>
    <w:p w14:paraId="7C10229F">
      <w:pPr>
        <w:pStyle w:val="5"/>
        <w:spacing w:before="254" w:line="354" w:lineRule="auto"/>
        <w:ind w:left="94" w:right="500" w:firstLine="390"/>
        <w:rPr>
          <w:rFonts w:hint="default" w:ascii="宋体" w:hAnsi="宋体" w:eastAsia="宋体" w:cs="宋体"/>
          <w:spacing w:val="9"/>
          <w:sz w:val="23"/>
          <w:szCs w:val="23"/>
          <w:lang w:val="en-US" w:eastAsia="zh-CN"/>
        </w:rPr>
      </w:pPr>
      <w:r>
        <w:rPr>
          <w:rFonts w:ascii="宋体" w:hAnsi="宋体" w:eastAsia="宋体" w:cs="宋体"/>
          <w:spacing w:val="9"/>
          <w:sz w:val="23"/>
          <w:szCs w:val="23"/>
        </w:rPr>
        <w:t>签订合同后15个工作日内支付合同总额的50%,等保测评结束完成验收合格后15个工作日内支付合同总额的50%。(特殊情况以合同为准)。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A1857"/>
    <w:multiLevelType w:val="singleLevel"/>
    <w:tmpl w:val="8B7A18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6146A"/>
    <w:rsid w:val="3746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customStyle="1" w:styleId="8">
    <w:name w:val="Table Text"/>
    <w:basedOn w:val="1"/>
    <w:semiHidden/>
    <w:qFormat/>
    <w:uiPriority w:val="0"/>
    <w:rPr>
      <w:rFonts w:ascii="宋体" w:hAnsi="宋体" w:eastAsia="宋体" w:cs="宋体"/>
      <w:sz w:val="29"/>
      <w:szCs w:val="29"/>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2025-06-23T06:30:00Z</dcterms:created>
  <dc:creator>张维</dc:creator>
  <cp:lastModifiedBy>张维</cp:lastModifiedBy>
  <dcterms:modified xsi:type="dcterms:W3CDTF">2025-06-23T06:36:13Z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DCE06E265DE54E0AA8E870C8431FA97B_11</vt:lpwstr>
  </property>
  <property fmtid="{D5CDD505-2E9C-101B-9397-08002B2CF9AE}" pid="4" name="KSOTemplateDocerSaveRecord">
    <vt:lpwstr>eyJoZGlkIjoiZGI1NDRmNTEyZGIzODY1Y2U3NzM1OGMxMWVmMDg5NDciLCJ1c2VySWQiOiIxNjkyMjgyOTIzIn0=</vt:lpwstr>
  </property>
</Properties>
</file>