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7443D">
      <w:pPr>
        <w:pStyle w:val="3"/>
        <w:rPr>
          <w:rFonts w:ascii="宋体" w:hAnsi="宋体"/>
          <w:sz w:val="24"/>
          <w:szCs w:val="24"/>
        </w:rPr>
      </w:pPr>
    </w:p>
    <w:p w14:paraId="6F931D02">
      <w:pPr>
        <w:pStyle w:val="3"/>
        <w:rPr>
          <w:rFonts w:hint="eastAsia" w:ascii="宋体" w:hAnsi="宋体"/>
          <w:sz w:val="24"/>
          <w:szCs w:val="24"/>
        </w:rPr>
      </w:pPr>
    </w:p>
    <w:p w14:paraId="2E8FBA1A">
      <w:pPr>
        <w:pStyle w:val="11"/>
        <w:spacing w:line="360" w:lineRule="auto"/>
        <w:ind w:left="420"/>
        <w:jc w:val="center"/>
        <w:rPr>
          <w:rFonts w:ascii="宋体" w:hAnsi="宋体" w:eastAsia="宋体" w:cs="宋体"/>
          <w:b/>
          <w:color w:val="auto"/>
          <w:sz w:val="32"/>
          <w:szCs w:val="32"/>
        </w:rPr>
      </w:pPr>
      <w:r>
        <w:rPr>
          <w:rFonts w:hint="eastAsia" w:ascii="宋体" w:hAnsi="宋体" w:eastAsia="宋体" w:cs="宋体"/>
          <w:b/>
          <w:color w:val="auto"/>
          <w:sz w:val="32"/>
          <w:szCs w:val="32"/>
        </w:rPr>
        <w:t>项目需求书</w:t>
      </w:r>
    </w:p>
    <w:p w14:paraId="3A052E0E">
      <w:pPr>
        <w:pStyle w:val="3"/>
        <w:rPr>
          <w:rFonts w:ascii="宋体" w:hAnsi="宋体"/>
          <w:sz w:val="24"/>
          <w:szCs w:val="24"/>
        </w:rPr>
      </w:pPr>
    </w:p>
    <w:p w14:paraId="29952E16">
      <w:pPr>
        <w:spacing w:before="156" w:beforeLines="50" w:after="156" w:afterLines="50" w:line="360" w:lineRule="auto"/>
        <w:rPr>
          <w:rFonts w:hint="eastAsia" w:ascii="宋体" w:hAnsi="宋体" w:cs="宋体"/>
          <w:b/>
          <w:bCs/>
          <w:sz w:val="28"/>
          <w:szCs w:val="28"/>
        </w:rPr>
      </w:pPr>
      <w:r>
        <w:rPr>
          <w:rFonts w:hint="eastAsia" w:ascii="宋体" w:hAnsi="宋体" w:cs="宋体"/>
          <w:b/>
          <w:bCs/>
          <w:sz w:val="28"/>
          <w:szCs w:val="28"/>
        </w:rPr>
        <w:t>一、项目背景</w:t>
      </w:r>
    </w:p>
    <w:p w14:paraId="4F54849D">
      <w:pPr>
        <w:spacing w:line="360" w:lineRule="auto"/>
        <w:ind w:firstLine="480" w:firstLineChars="200"/>
        <w:rPr>
          <w:rFonts w:ascii="宋体" w:hAnsi="宋体"/>
          <w:sz w:val="24"/>
          <w:szCs w:val="24"/>
        </w:rPr>
      </w:pPr>
      <w:r>
        <w:rPr>
          <w:rFonts w:hint="eastAsia" w:ascii="宋体" w:hAnsi="宋体"/>
          <w:sz w:val="24"/>
          <w:szCs w:val="24"/>
        </w:rPr>
        <w:t>本项目是按照我院信息中心应用系统运维保障工作实际需要，以保障系统运行稳定，支撑全院实际医疗业务为目标，采购包含设备巡检维护、故障应急处理、硬件维修及软件安装调试等全项运维保障服务。该项运维工作共设计各类硬件设备及系统。</w:t>
      </w:r>
    </w:p>
    <w:p w14:paraId="5906364B">
      <w:pPr>
        <w:spacing w:line="360" w:lineRule="auto"/>
        <w:ind w:firstLine="480" w:firstLineChars="200"/>
        <w:rPr>
          <w:rFonts w:ascii="宋体" w:hAnsi="宋体"/>
          <w:sz w:val="24"/>
          <w:szCs w:val="24"/>
        </w:rPr>
      </w:pPr>
    </w:p>
    <w:p w14:paraId="365428A3">
      <w:pPr>
        <w:rPr>
          <w:rFonts w:ascii="宋体" w:hAnsi="宋体"/>
          <w:sz w:val="24"/>
          <w:szCs w:val="24"/>
        </w:rPr>
      </w:pPr>
    </w:p>
    <w:p w14:paraId="0BFDA4BA">
      <w:pPr>
        <w:rPr>
          <w:rFonts w:ascii="宋体" w:hAnsi="宋体"/>
          <w:sz w:val="24"/>
          <w:szCs w:val="24"/>
        </w:rPr>
      </w:pPr>
    </w:p>
    <w:p w14:paraId="12A94593">
      <w:pPr>
        <w:spacing w:before="156" w:beforeLines="50" w:after="156" w:afterLines="50" w:line="360" w:lineRule="auto"/>
        <w:rPr>
          <w:rFonts w:ascii="宋体" w:hAnsi="宋体" w:cs="宋体"/>
          <w:b/>
          <w:bCs/>
          <w:sz w:val="28"/>
          <w:szCs w:val="28"/>
        </w:rPr>
      </w:pPr>
      <w:r>
        <w:rPr>
          <w:rFonts w:hint="eastAsia" w:ascii="宋体" w:hAnsi="宋体" w:cs="宋体"/>
          <w:b/>
          <w:bCs/>
          <w:sz w:val="28"/>
          <w:szCs w:val="28"/>
        </w:rPr>
        <w:t>二、服务要求</w:t>
      </w:r>
    </w:p>
    <w:tbl>
      <w:tblPr>
        <w:tblStyle w:val="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900"/>
        <w:gridCol w:w="6290"/>
        <w:gridCol w:w="1275"/>
      </w:tblGrid>
      <w:tr w14:paraId="6A52A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shd w:val="clear" w:color="auto" w:fill="808080"/>
            <w:vAlign w:val="center"/>
          </w:tcPr>
          <w:p w14:paraId="635957F4">
            <w:pPr>
              <w:spacing w:line="360" w:lineRule="auto"/>
              <w:jc w:val="center"/>
              <w:rPr>
                <w:rFonts w:ascii="宋体" w:hAnsi="宋体"/>
                <w:b/>
                <w:sz w:val="24"/>
                <w:szCs w:val="24"/>
              </w:rPr>
            </w:pPr>
            <w:r>
              <w:rPr>
                <w:rFonts w:hint="eastAsia" w:ascii="宋体" w:hAnsi="宋体"/>
                <w:b/>
                <w:sz w:val="24"/>
                <w:szCs w:val="24"/>
              </w:rPr>
              <w:t>序号</w:t>
            </w:r>
          </w:p>
        </w:tc>
        <w:tc>
          <w:tcPr>
            <w:tcW w:w="900" w:type="dxa"/>
            <w:shd w:val="clear" w:color="auto" w:fill="808080"/>
            <w:vAlign w:val="center"/>
          </w:tcPr>
          <w:p w14:paraId="3E4DC396">
            <w:pPr>
              <w:spacing w:line="360" w:lineRule="auto"/>
              <w:jc w:val="center"/>
              <w:rPr>
                <w:rFonts w:ascii="宋体" w:hAnsi="宋体"/>
                <w:b/>
                <w:sz w:val="24"/>
                <w:szCs w:val="24"/>
              </w:rPr>
            </w:pPr>
            <w:r>
              <w:rPr>
                <w:rFonts w:hint="eastAsia" w:ascii="宋体" w:hAnsi="宋体"/>
                <w:b/>
                <w:sz w:val="24"/>
                <w:szCs w:val="24"/>
              </w:rPr>
              <w:t>指标项</w:t>
            </w:r>
          </w:p>
        </w:tc>
        <w:tc>
          <w:tcPr>
            <w:tcW w:w="6290" w:type="dxa"/>
            <w:shd w:val="clear" w:color="auto" w:fill="808080"/>
            <w:vAlign w:val="center"/>
          </w:tcPr>
          <w:p w14:paraId="1A345AE7">
            <w:pPr>
              <w:spacing w:line="360" w:lineRule="auto"/>
              <w:jc w:val="center"/>
              <w:rPr>
                <w:rFonts w:ascii="宋体" w:hAnsi="宋体"/>
                <w:b/>
                <w:sz w:val="24"/>
                <w:szCs w:val="24"/>
              </w:rPr>
            </w:pPr>
            <w:r>
              <w:rPr>
                <w:rFonts w:hint="eastAsia" w:ascii="宋体" w:hAnsi="宋体"/>
                <w:b/>
                <w:sz w:val="24"/>
                <w:szCs w:val="24"/>
              </w:rPr>
              <w:t>指标要求</w:t>
            </w:r>
          </w:p>
        </w:tc>
        <w:tc>
          <w:tcPr>
            <w:tcW w:w="1275" w:type="dxa"/>
            <w:shd w:val="clear" w:color="auto" w:fill="808080"/>
            <w:vAlign w:val="center"/>
          </w:tcPr>
          <w:p w14:paraId="2E90B887">
            <w:pPr>
              <w:spacing w:line="360" w:lineRule="auto"/>
              <w:jc w:val="center"/>
              <w:rPr>
                <w:rFonts w:ascii="宋体" w:hAnsi="宋体"/>
                <w:b/>
                <w:sz w:val="24"/>
                <w:szCs w:val="24"/>
              </w:rPr>
            </w:pPr>
            <w:r>
              <w:rPr>
                <w:rFonts w:hint="eastAsia" w:ascii="宋体" w:hAnsi="宋体"/>
                <w:b/>
                <w:sz w:val="24"/>
                <w:szCs w:val="24"/>
              </w:rPr>
              <w:t>说明</w:t>
            </w:r>
          </w:p>
        </w:tc>
      </w:tr>
      <w:tr w14:paraId="4E32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restart"/>
            <w:vAlign w:val="center"/>
          </w:tcPr>
          <w:p w14:paraId="0D5ABE30">
            <w:pPr>
              <w:spacing w:line="360" w:lineRule="auto"/>
              <w:rPr>
                <w:rFonts w:ascii="宋体" w:hAnsi="宋体"/>
                <w:sz w:val="24"/>
                <w:szCs w:val="24"/>
              </w:rPr>
            </w:pPr>
            <w:r>
              <w:rPr>
                <w:rFonts w:hint="eastAsia" w:ascii="宋体" w:hAnsi="宋体"/>
                <w:sz w:val="24"/>
                <w:szCs w:val="24"/>
              </w:rPr>
              <w:t>1</w:t>
            </w:r>
          </w:p>
        </w:tc>
        <w:tc>
          <w:tcPr>
            <w:tcW w:w="900" w:type="dxa"/>
            <w:vMerge w:val="restart"/>
            <w:vAlign w:val="center"/>
          </w:tcPr>
          <w:p w14:paraId="6759CEE9">
            <w:pPr>
              <w:spacing w:line="360" w:lineRule="auto"/>
              <w:rPr>
                <w:rFonts w:ascii="宋体" w:hAnsi="宋体"/>
                <w:sz w:val="24"/>
                <w:szCs w:val="24"/>
              </w:rPr>
            </w:pPr>
            <w:r>
              <w:rPr>
                <w:rFonts w:hint="eastAsia" w:ascii="宋体" w:hAnsi="宋体"/>
                <w:sz w:val="24"/>
                <w:szCs w:val="24"/>
              </w:rPr>
              <w:t>★维保范围</w:t>
            </w:r>
          </w:p>
        </w:tc>
        <w:tc>
          <w:tcPr>
            <w:tcW w:w="6290" w:type="dxa"/>
            <w:vAlign w:val="center"/>
          </w:tcPr>
          <w:p w14:paraId="3EF92801">
            <w:pPr>
              <w:spacing w:line="360" w:lineRule="auto"/>
              <w:rPr>
                <w:rFonts w:ascii="宋体" w:hAnsi="宋体"/>
                <w:sz w:val="24"/>
                <w:szCs w:val="24"/>
              </w:rPr>
            </w:pPr>
            <w:r>
              <w:rPr>
                <w:rFonts w:hint="eastAsia" w:ascii="宋体" w:hAnsi="宋体"/>
                <w:sz w:val="24"/>
                <w:szCs w:val="24"/>
              </w:rPr>
              <w:t>设备清单参见附件</w:t>
            </w:r>
          </w:p>
        </w:tc>
        <w:tc>
          <w:tcPr>
            <w:tcW w:w="1275" w:type="dxa"/>
            <w:vMerge w:val="restart"/>
            <w:vAlign w:val="center"/>
          </w:tcPr>
          <w:p w14:paraId="3F96A77F">
            <w:pPr>
              <w:spacing w:line="360" w:lineRule="auto"/>
              <w:rPr>
                <w:rFonts w:ascii="宋体" w:hAnsi="宋体"/>
                <w:sz w:val="24"/>
                <w:szCs w:val="24"/>
              </w:rPr>
            </w:pPr>
            <w:r>
              <w:rPr>
                <w:rFonts w:hint="eastAsia" w:ascii="宋体" w:hAnsi="宋体"/>
                <w:sz w:val="24"/>
                <w:szCs w:val="24"/>
              </w:rPr>
              <w:t>基本维保工作范围</w:t>
            </w:r>
          </w:p>
        </w:tc>
      </w:tr>
      <w:tr w14:paraId="223E1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vAlign w:val="center"/>
          </w:tcPr>
          <w:p w14:paraId="7C0D6BF7">
            <w:pPr>
              <w:spacing w:line="360" w:lineRule="auto"/>
              <w:rPr>
                <w:rFonts w:ascii="宋体" w:hAnsi="宋体"/>
                <w:sz w:val="24"/>
                <w:szCs w:val="24"/>
              </w:rPr>
            </w:pPr>
          </w:p>
        </w:tc>
        <w:tc>
          <w:tcPr>
            <w:tcW w:w="900" w:type="dxa"/>
            <w:vMerge w:val="continue"/>
            <w:vAlign w:val="center"/>
          </w:tcPr>
          <w:p w14:paraId="0478D59D">
            <w:pPr>
              <w:spacing w:line="360" w:lineRule="auto"/>
              <w:rPr>
                <w:rFonts w:ascii="宋体" w:hAnsi="宋体"/>
                <w:sz w:val="24"/>
                <w:szCs w:val="24"/>
              </w:rPr>
            </w:pPr>
          </w:p>
        </w:tc>
        <w:tc>
          <w:tcPr>
            <w:tcW w:w="6290" w:type="dxa"/>
            <w:vAlign w:val="center"/>
          </w:tcPr>
          <w:p w14:paraId="14ACFA27">
            <w:pPr>
              <w:spacing w:line="360" w:lineRule="auto"/>
              <w:rPr>
                <w:rFonts w:ascii="宋体" w:hAnsi="宋体"/>
                <w:sz w:val="24"/>
                <w:szCs w:val="24"/>
              </w:rPr>
            </w:pPr>
            <w:r>
              <w:rPr>
                <w:rFonts w:hint="eastAsia" w:ascii="宋体" w:hAnsi="宋体"/>
                <w:sz w:val="24"/>
                <w:szCs w:val="24"/>
              </w:rPr>
              <w:t>投标方需提供维保范围内的设备部件故障排除、修复或更换；设备连接线路之间的免费维修更换及其他部件故障的技术支持。</w:t>
            </w:r>
          </w:p>
        </w:tc>
        <w:tc>
          <w:tcPr>
            <w:tcW w:w="1275" w:type="dxa"/>
            <w:vMerge w:val="continue"/>
            <w:vAlign w:val="center"/>
          </w:tcPr>
          <w:p w14:paraId="5F13A4C6">
            <w:pPr>
              <w:spacing w:line="360" w:lineRule="auto"/>
              <w:rPr>
                <w:rFonts w:ascii="宋体" w:hAnsi="宋体"/>
                <w:sz w:val="24"/>
                <w:szCs w:val="24"/>
              </w:rPr>
            </w:pPr>
          </w:p>
        </w:tc>
      </w:tr>
      <w:tr w14:paraId="2F79C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restart"/>
            <w:vAlign w:val="center"/>
          </w:tcPr>
          <w:p w14:paraId="6EA6CC6B">
            <w:pPr>
              <w:spacing w:line="360" w:lineRule="auto"/>
              <w:rPr>
                <w:rFonts w:ascii="宋体" w:hAnsi="宋体"/>
                <w:sz w:val="24"/>
                <w:szCs w:val="24"/>
              </w:rPr>
            </w:pPr>
            <w:r>
              <w:rPr>
                <w:rFonts w:hint="eastAsia" w:ascii="宋体" w:hAnsi="宋体"/>
                <w:sz w:val="24"/>
                <w:szCs w:val="24"/>
              </w:rPr>
              <w:t>2</w:t>
            </w:r>
          </w:p>
        </w:tc>
        <w:tc>
          <w:tcPr>
            <w:tcW w:w="900" w:type="dxa"/>
            <w:vMerge w:val="restart"/>
            <w:vAlign w:val="center"/>
          </w:tcPr>
          <w:p w14:paraId="7DBF5743">
            <w:pPr>
              <w:spacing w:line="360" w:lineRule="auto"/>
              <w:rPr>
                <w:rFonts w:ascii="宋体" w:hAnsi="宋体"/>
                <w:sz w:val="24"/>
                <w:szCs w:val="24"/>
              </w:rPr>
            </w:pPr>
            <w:r>
              <w:rPr>
                <w:rFonts w:hint="eastAsia" w:ascii="宋体" w:hAnsi="宋体"/>
                <w:sz w:val="24"/>
                <w:szCs w:val="24"/>
              </w:rPr>
              <w:t>巡检要求</w:t>
            </w:r>
          </w:p>
        </w:tc>
        <w:tc>
          <w:tcPr>
            <w:tcW w:w="6290" w:type="dxa"/>
            <w:vAlign w:val="center"/>
          </w:tcPr>
          <w:p w14:paraId="34577E16">
            <w:pPr>
              <w:spacing w:line="360" w:lineRule="auto"/>
              <w:rPr>
                <w:rFonts w:ascii="宋体" w:hAnsi="宋体"/>
                <w:sz w:val="24"/>
                <w:szCs w:val="24"/>
              </w:rPr>
            </w:pPr>
            <w:r>
              <w:rPr>
                <w:rFonts w:hint="eastAsia" w:ascii="宋体" w:hAnsi="宋体"/>
                <w:sz w:val="24"/>
                <w:szCs w:val="24"/>
              </w:rPr>
              <w:t>投标方需根据机房硬件设备、系统的实际情况，制定专门的维保巡检方案和巡检计划，对硬件设备、系统进行预防性检查维护，针对检查结果提供检查分析报告和优化建议，并提供客户要求的其他一般技术支持。</w:t>
            </w:r>
          </w:p>
        </w:tc>
        <w:tc>
          <w:tcPr>
            <w:tcW w:w="1275" w:type="dxa"/>
            <w:vAlign w:val="center"/>
          </w:tcPr>
          <w:p w14:paraId="300C9229">
            <w:pPr>
              <w:spacing w:line="360" w:lineRule="auto"/>
              <w:rPr>
                <w:rFonts w:ascii="宋体" w:hAnsi="宋体"/>
                <w:sz w:val="24"/>
                <w:szCs w:val="24"/>
              </w:rPr>
            </w:pPr>
          </w:p>
        </w:tc>
      </w:tr>
      <w:tr w14:paraId="542E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vAlign w:val="center"/>
          </w:tcPr>
          <w:p w14:paraId="1AEB3A6B">
            <w:pPr>
              <w:spacing w:line="360" w:lineRule="auto"/>
              <w:rPr>
                <w:rFonts w:ascii="宋体" w:hAnsi="宋体"/>
                <w:sz w:val="24"/>
                <w:szCs w:val="24"/>
              </w:rPr>
            </w:pPr>
          </w:p>
        </w:tc>
        <w:tc>
          <w:tcPr>
            <w:tcW w:w="900" w:type="dxa"/>
            <w:vMerge w:val="continue"/>
            <w:vAlign w:val="center"/>
          </w:tcPr>
          <w:p w14:paraId="2A03CC90">
            <w:pPr>
              <w:spacing w:line="360" w:lineRule="auto"/>
              <w:rPr>
                <w:rFonts w:ascii="宋体" w:hAnsi="宋体"/>
                <w:sz w:val="24"/>
                <w:szCs w:val="24"/>
              </w:rPr>
            </w:pPr>
          </w:p>
        </w:tc>
        <w:tc>
          <w:tcPr>
            <w:tcW w:w="6290" w:type="dxa"/>
            <w:vAlign w:val="center"/>
          </w:tcPr>
          <w:p w14:paraId="3C7013AB">
            <w:pPr>
              <w:spacing w:line="360" w:lineRule="auto"/>
              <w:rPr>
                <w:rFonts w:ascii="宋体" w:hAnsi="宋体"/>
                <w:sz w:val="24"/>
                <w:szCs w:val="24"/>
              </w:rPr>
            </w:pPr>
            <w:r>
              <w:rPr>
                <w:rFonts w:hint="eastAsia" w:ascii="宋体" w:hAnsi="宋体"/>
                <w:sz w:val="24"/>
                <w:szCs w:val="24"/>
              </w:rPr>
              <w:t>投标方需提供不少于一次/季度的主动巡检服务，并在服务结束后提交《巡检报告》</w:t>
            </w:r>
          </w:p>
        </w:tc>
        <w:tc>
          <w:tcPr>
            <w:tcW w:w="1275" w:type="dxa"/>
            <w:vAlign w:val="center"/>
          </w:tcPr>
          <w:p w14:paraId="05C3DDBD">
            <w:pPr>
              <w:spacing w:line="360" w:lineRule="auto"/>
              <w:rPr>
                <w:rFonts w:ascii="宋体" w:hAnsi="宋体"/>
                <w:sz w:val="24"/>
                <w:szCs w:val="24"/>
              </w:rPr>
            </w:pPr>
          </w:p>
        </w:tc>
      </w:tr>
      <w:tr w14:paraId="0070A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restart"/>
            <w:vAlign w:val="center"/>
          </w:tcPr>
          <w:p w14:paraId="61EB80E5">
            <w:pPr>
              <w:spacing w:line="360" w:lineRule="auto"/>
              <w:rPr>
                <w:rFonts w:ascii="宋体" w:hAnsi="宋体"/>
                <w:sz w:val="24"/>
                <w:szCs w:val="24"/>
              </w:rPr>
            </w:pPr>
            <w:r>
              <w:rPr>
                <w:rFonts w:hint="eastAsia" w:ascii="宋体" w:hAnsi="宋体"/>
                <w:sz w:val="24"/>
                <w:szCs w:val="24"/>
              </w:rPr>
              <w:t>3</w:t>
            </w:r>
          </w:p>
        </w:tc>
        <w:tc>
          <w:tcPr>
            <w:tcW w:w="900" w:type="dxa"/>
            <w:vMerge w:val="restart"/>
            <w:vAlign w:val="center"/>
          </w:tcPr>
          <w:p w14:paraId="32B7A41C">
            <w:pPr>
              <w:spacing w:line="360" w:lineRule="auto"/>
              <w:rPr>
                <w:rFonts w:ascii="宋体" w:hAnsi="宋体"/>
                <w:sz w:val="24"/>
                <w:szCs w:val="24"/>
              </w:rPr>
            </w:pPr>
            <w:r>
              <w:rPr>
                <w:rFonts w:hint="eastAsia" w:ascii="宋体" w:hAnsi="宋体"/>
                <w:sz w:val="24"/>
                <w:szCs w:val="24"/>
              </w:rPr>
              <w:t>技术支持</w:t>
            </w:r>
          </w:p>
        </w:tc>
        <w:tc>
          <w:tcPr>
            <w:tcW w:w="6290" w:type="dxa"/>
            <w:vAlign w:val="center"/>
          </w:tcPr>
          <w:p w14:paraId="5C1A3C4C">
            <w:pPr>
              <w:spacing w:line="360" w:lineRule="auto"/>
              <w:rPr>
                <w:rFonts w:ascii="宋体" w:hAnsi="宋体"/>
                <w:sz w:val="24"/>
                <w:szCs w:val="24"/>
              </w:rPr>
            </w:pPr>
            <w:r>
              <w:rPr>
                <w:rFonts w:hint="eastAsia" w:ascii="宋体" w:hAnsi="宋体"/>
                <w:sz w:val="24"/>
                <w:szCs w:val="24"/>
              </w:rPr>
              <w:t>投标方需提供7×24全天候热线，支持进行故障报修或提出技术支持请求。</w:t>
            </w:r>
          </w:p>
        </w:tc>
        <w:tc>
          <w:tcPr>
            <w:tcW w:w="1275" w:type="dxa"/>
            <w:vAlign w:val="center"/>
          </w:tcPr>
          <w:p w14:paraId="5B4C3691">
            <w:pPr>
              <w:spacing w:line="360" w:lineRule="auto"/>
              <w:rPr>
                <w:rFonts w:ascii="宋体" w:hAnsi="宋体"/>
                <w:sz w:val="24"/>
                <w:szCs w:val="24"/>
              </w:rPr>
            </w:pPr>
          </w:p>
        </w:tc>
      </w:tr>
      <w:tr w14:paraId="7AFCA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vAlign w:val="center"/>
          </w:tcPr>
          <w:p w14:paraId="1B6A65F0">
            <w:pPr>
              <w:spacing w:line="360" w:lineRule="auto"/>
              <w:rPr>
                <w:rFonts w:ascii="宋体" w:hAnsi="宋体"/>
                <w:sz w:val="24"/>
                <w:szCs w:val="24"/>
              </w:rPr>
            </w:pPr>
          </w:p>
        </w:tc>
        <w:tc>
          <w:tcPr>
            <w:tcW w:w="900" w:type="dxa"/>
            <w:vMerge w:val="continue"/>
            <w:vAlign w:val="center"/>
          </w:tcPr>
          <w:p w14:paraId="4F499B2F">
            <w:pPr>
              <w:spacing w:line="360" w:lineRule="auto"/>
              <w:rPr>
                <w:rFonts w:ascii="宋体" w:hAnsi="宋体"/>
                <w:sz w:val="24"/>
                <w:szCs w:val="24"/>
              </w:rPr>
            </w:pPr>
          </w:p>
        </w:tc>
        <w:tc>
          <w:tcPr>
            <w:tcW w:w="6290" w:type="dxa"/>
            <w:vAlign w:val="center"/>
          </w:tcPr>
          <w:p w14:paraId="2B91D8D7">
            <w:pPr>
              <w:spacing w:line="360" w:lineRule="auto"/>
              <w:rPr>
                <w:rFonts w:ascii="宋体" w:hAnsi="宋体"/>
                <w:sz w:val="24"/>
                <w:szCs w:val="24"/>
              </w:rPr>
            </w:pPr>
            <w:r>
              <w:rPr>
                <w:rFonts w:hint="eastAsia" w:ascii="宋体" w:hAnsi="宋体"/>
                <w:sz w:val="24"/>
                <w:szCs w:val="24"/>
              </w:rPr>
              <w:t>投标方需在接到用户要求提供现场服务的通知后，1小时内派遣技术工程师到达现场。提供备件服务，需提供备件库照片、备件清单、备件库详细地址、库房所在地房屋合同等，并承诺可随时检查。</w:t>
            </w:r>
          </w:p>
        </w:tc>
        <w:tc>
          <w:tcPr>
            <w:tcW w:w="1275" w:type="dxa"/>
            <w:vAlign w:val="center"/>
          </w:tcPr>
          <w:p w14:paraId="52BC45DE">
            <w:pPr>
              <w:spacing w:line="360" w:lineRule="auto"/>
              <w:rPr>
                <w:rFonts w:ascii="宋体" w:hAnsi="宋体"/>
                <w:sz w:val="24"/>
                <w:szCs w:val="24"/>
              </w:rPr>
            </w:pPr>
          </w:p>
        </w:tc>
      </w:tr>
      <w:tr w14:paraId="49103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vAlign w:val="center"/>
          </w:tcPr>
          <w:p w14:paraId="2D0965ED">
            <w:pPr>
              <w:spacing w:line="360" w:lineRule="auto"/>
              <w:rPr>
                <w:rFonts w:ascii="宋体" w:hAnsi="宋体"/>
                <w:sz w:val="24"/>
                <w:szCs w:val="24"/>
              </w:rPr>
            </w:pPr>
          </w:p>
        </w:tc>
        <w:tc>
          <w:tcPr>
            <w:tcW w:w="900" w:type="dxa"/>
            <w:vMerge w:val="continue"/>
            <w:vAlign w:val="center"/>
          </w:tcPr>
          <w:p w14:paraId="782F7E77">
            <w:pPr>
              <w:spacing w:line="360" w:lineRule="auto"/>
              <w:rPr>
                <w:rFonts w:ascii="宋体" w:hAnsi="宋体"/>
                <w:sz w:val="24"/>
                <w:szCs w:val="24"/>
              </w:rPr>
            </w:pPr>
          </w:p>
        </w:tc>
        <w:tc>
          <w:tcPr>
            <w:tcW w:w="6290" w:type="dxa"/>
            <w:vAlign w:val="center"/>
          </w:tcPr>
          <w:p w14:paraId="3E845759">
            <w:pPr>
              <w:spacing w:line="360" w:lineRule="auto"/>
              <w:rPr>
                <w:rFonts w:ascii="宋体" w:hAnsi="宋体"/>
                <w:bCs/>
                <w:sz w:val="24"/>
                <w:szCs w:val="24"/>
              </w:rPr>
            </w:pPr>
            <w:r>
              <w:rPr>
                <w:rFonts w:hint="eastAsia" w:ascii="宋体" w:hAnsi="宋体"/>
                <w:bCs/>
                <w:sz w:val="24"/>
                <w:szCs w:val="24"/>
              </w:rPr>
              <w:t>运维团队成员不少于5名，包含：运维服务项目经理、数据库工程师、网络工程师、IT工程师、安全工程师。</w:t>
            </w:r>
          </w:p>
        </w:tc>
        <w:tc>
          <w:tcPr>
            <w:tcW w:w="1275" w:type="dxa"/>
            <w:vAlign w:val="center"/>
          </w:tcPr>
          <w:p w14:paraId="356EF821">
            <w:pPr>
              <w:spacing w:line="360" w:lineRule="auto"/>
              <w:rPr>
                <w:rFonts w:ascii="宋体" w:hAnsi="宋体"/>
                <w:sz w:val="24"/>
                <w:szCs w:val="24"/>
              </w:rPr>
            </w:pPr>
          </w:p>
        </w:tc>
      </w:tr>
      <w:tr w14:paraId="676D7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vAlign w:val="center"/>
          </w:tcPr>
          <w:p w14:paraId="2C366289">
            <w:pPr>
              <w:spacing w:line="360" w:lineRule="auto"/>
              <w:rPr>
                <w:rFonts w:ascii="宋体" w:hAnsi="宋体"/>
                <w:sz w:val="24"/>
                <w:szCs w:val="24"/>
              </w:rPr>
            </w:pPr>
          </w:p>
        </w:tc>
        <w:tc>
          <w:tcPr>
            <w:tcW w:w="900" w:type="dxa"/>
            <w:vMerge w:val="continue"/>
            <w:vAlign w:val="center"/>
          </w:tcPr>
          <w:p w14:paraId="410C37DB">
            <w:pPr>
              <w:spacing w:line="360" w:lineRule="auto"/>
              <w:rPr>
                <w:rFonts w:ascii="宋体" w:hAnsi="宋体"/>
                <w:sz w:val="24"/>
                <w:szCs w:val="24"/>
              </w:rPr>
            </w:pPr>
          </w:p>
        </w:tc>
        <w:tc>
          <w:tcPr>
            <w:tcW w:w="6290" w:type="dxa"/>
            <w:vAlign w:val="center"/>
          </w:tcPr>
          <w:p w14:paraId="2D327BED">
            <w:pPr>
              <w:spacing w:line="360" w:lineRule="auto"/>
              <w:rPr>
                <w:rFonts w:ascii="宋体" w:hAnsi="宋体"/>
                <w:bCs/>
                <w:sz w:val="24"/>
                <w:szCs w:val="24"/>
              </w:rPr>
            </w:pPr>
            <w:r>
              <w:rPr>
                <w:rFonts w:hint="eastAsia" w:ascii="宋体" w:hAnsi="宋体"/>
                <w:bCs/>
                <w:sz w:val="24"/>
                <w:szCs w:val="24"/>
              </w:rPr>
              <w:t>投标方需提供各类设备的软件系统的调试配置服务。</w:t>
            </w:r>
          </w:p>
        </w:tc>
        <w:tc>
          <w:tcPr>
            <w:tcW w:w="1275" w:type="dxa"/>
            <w:vAlign w:val="center"/>
          </w:tcPr>
          <w:p w14:paraId="50D56BBA">
            <w:pPr>
              <w:spacing w:line="360" w:lineRule="auto"/>
              <w:rPr>
                <w:rFonts w:ascii="宋体" w:hAnsi="宋体"/>
                <w:sz w:val="24"/>
                <w:szCs w:val="24"/>
              </w:rPr>
            </w:pPr>
          </w:p>
        </w:tc>
      </w:tr>
      <w:tr w14:paraId="718F8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vAlign w:val="center"/>
          </w:tcPr>
          <w:p w14:paraId="0866C311">
            <w:pPr>
              <w:spacing w:line="360" w:lineRule="auto"/>
              <w:rPr>
                <w:rFonts w:ascii="宋体" w:hAnsi="宋体"/>
                <w:sz w:val="24"/>
                <w:szCs w:val="24"/>
              </w:rPr>
            </w:pPr>
          </w:p>
        </w:tc>
        <w:tc>
          <w:tcPr>
            <w:tcW w:w="900" w:type="dxa"/>
            <w:vMerge w:val="continue"/>
            <w:vAlign w:val="center"/>
          </w:tcPr>
          <w:p w14:paraId="19834512">
            <w:pPr>
              <w:spacing w:line="360" w:lineRule="auto"/>
              <w:rPr>
                <w:rFonts w:ascii="宋体" w:hAnsi="宋体"/>
                <w:sz w:val="24"/>
                <w:szCs w:val="24"/>
              </w:rPr>
            </w:pPr>
          </w:p>
        </w:tc>
        <w:tc>
          <w:tcPr>
            <w:tcW w:w="6290" w:type="dxa"/>
            <w:vAlign w:val="center"/>
          </w:tcPr>
          <w:p w14:paraId="344F60E2">
            <w:pPr>
              <w:spacing w:line="360" w:lineRule="auto"/>
              <w:rPr>
                <w:rFonts w:ascii="宋体" w:hAnsi="宋体"/>
                <w:bCs/>
                <w:sz w:val="24"/>
                <w:szCs w:val="24"/>
              </w:rPr>
            </w:pPr>
            <w:r>
              <w:rPr>
                <w:rFonts w:hint="eastAsia" w:ascii="宋体" w:hAnsi="宋体"/>
                <w:bCs/>
                <w:sz w:val="24"/>
                <w:szCs w:val="24"/>
              </w:rPr>
              <w:t>提供备份数据恢复验证服务（提供关键业务数据恢复验证所需的备用设备及相关存储，满足数据应用验证要求）。</w:t>
            </w:r>
          </w:p>
        </w:tc>
        <w:tc>
          <w:tcPr>
            <w:tcW w:w="1275" w:type="dxa"/>
            <w:vAlign w:val="center"/>
          </w:tcPr>
          <w:p w14:paraId="1761679B">
            <w:pPr>
              <w:spacing w:line="360" w:lineRule="auto"/>
              <w:rPr>
                <w:rFonts w:ascii="宋体" w:hAnsi="宋体"/>
                <w:sz w:val="24"/>
                <w:szCs w:val="24"/>
              </w:rPr>
            </w:pPr>
          </w:p>
        </w:tc>
      </w:tr>
      <w:tr w14:paraId="13983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vAlign w:val="center"/>
          </w:tcPr>
          <w:p w14:paraId="5112931F">
            <w:pPr>
              <w:spacing w:line="360" w:lineRule="auto"/>
              <w:rPr>
                <w:rFonts w:ascii="宋体" w:hAnsi="宋体"/>
                <w:sz w:val="24"/>
                <w:szCs w:val="24"/>
              </w:rPr>
            </w:pPr>
          </w:p>
        </w:tc>
        <w:tc>
          <w:tcPr>
            <w:tcW w:w="900" w:type="dxa"/>
            <w:vMerge w:val="continue"/>
            <w:vAlign w:val="center"/>
          </w:tcPr>
          <w:p w14:paraId="45FB1603">
            <w:pPr>
              <w:spacing w:line="360" w:lineRule="auto"/>
              <w:rPr>
                <w:rFonts w:ascii="宋体" w:hAnsi="宋体"/>
                <w:sz w:val="24"/>
                <w:szCs w:val="24"/>
              </w:rPr>
            </w:pPr>
          </w:p>
        </w:tc>
        <w:tc>
          <w:tcPr>
            <w:tcW w:w="6290" w:type="dxa"/>
            <w:vAlign w:val="center"/>
          </w:tcPr>
          <w:p w14:paraId="47258329">
            <w:pPr>
              <w:spacing w:line="360" w:lineRule="auto"/>
              <w:rPr>
                <w:rFonts w:ascii="宋体" w:hAnsi="宋体"/>
                <w:bCs/>
                <w:sz w:val="24"/>
                <w:szCs w:val="24"/>
              </w:rPr>
            </w:pPr>
            <w:r>
              <w:rPr>
                <w:rFonts w:hint="eastAsia" w:ascii="宋体" w:hAnsi="宋体"/>
                <w:bCs/>
                <w:sz w:val="24"/>
                <w:szCs w:val="24"/>
              </w:rPr>
              <w:t>提供数据库支持服务。</w:t>
            </w:r>
          </w:p>
        </w:tc>
        <w:tc>
          <w:tcPr>
            <w:tcW w:w="1275" w:type="dxa"/>
            <w:vAlign w:val="center"/>
          </w:tcPr>
          <w:p w14:paraId="1267B73E">
            <w:pPr>
              <w:spacing w:line="360" w:lineRule="auto"/>
              <w:rPr>
                <w:rFonts w:ascii="宋体" w:hAnsi="宋体"/>
                <w:sz w:val="24"/>
                <w:szCs w:val="24"/>
              </w:rPr>
            </w:pPr>
          </w:p>
        </w:tc>
      </w:tr>
      <w:tr w14:paraId="2CCD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vAlign w:val="center"/>
          </w:tcPr>
          <w:p w14:paraId="5A082D07">
            <w:pPr>
              <w:spacing w:line="360" w:lineRule="auto"/>
              <w:rPr>
                <w:rFonts w:ascii="宋体" w:hAnsi="宋体"/>
                <w:sz w:val="24"/>
                <w:szCs w:val="24"/>
              </w:rPr>
            </w:pPr>
          </w:p>
        </w:tc>
        <w:tc>
          <w:tcPr>
            <w:tcW w:w="900" w:type="dxa"/>
            <w:vMerge w:val="continue"/>
            <w:vAlign w:val="center"/>
          </w:tcPr>
          <w:p w14:paraId="2AC6CC1E">
            <w:pPr>
              <w:spacing w:line="360" w:lineRule="auto"/>
              <w:rPr>
                <w:rFonts w:ascii="宋体" w:hAnsi="宋体"/>
                <w:sz w:val="24"/>
                <w:szCs w:val="24"/>
              </w:rPr>
            </w:pPr>
          </w:p>
        </w:tc>
        <w:tc>
          <w:tcPr>
            <w:tcW w:w="6290" w:type="dxa"/>
            <w:vAlign w:val="center"/>
          </w:tcPr>
          <w:p w14:paraId="5538060E">
            <w:pPr>
              <w:spacing w:line="360" w:lineRule="auto"/>
              <w:rPr>
                <w:rFonts w:ascii="宋体" w:hAnsi="宋体"/>
                <w:bCs/>
                <w:sz w:val="24"/>
                <w:szCs w:val="24"/>
              </w:rPr>
            </w:pPr>
            <w:r>
              <w:rPr>
                <w:rFonts w:hint="eastAsia" w:ascii="宋体" w:hAnsi="宋体"/>
                <w:bCs/>
                <w:sz w:val="24"/>
                <w:szCs w:val="24"/>
              </w:rPr>
              <w:t>投标方需尽可能提供技术支持，以便于用户对现有系统进行新建、扩容或变更等工作。</w:t>
            </w:r>
          </w:p>
        </w:tc>
        <w:tc>
          <w:tcPr>
            <w:tcW w:w="1275" w:type="dxa"/>
            <w:vAlign w:val="center"/>
          </w:tcPr>
          <w:p w14:paraId="2AD54835">
            <w:pPr>
              <w:spacing w:line="360" w:lineRule="auto"/>
              <w:rPr>
                <w:rFonts w:ascii="宋体" w:hAnsi="宋体"/>
                <w:sz w:val="24"/>
                <w:szCs w:val="24"/>
              </w:rPr>
            </w:pPr>
          </w:p>
        </w:tc>
      </w:tr>
      <w:tr w14:paraId="08029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restart"/>
            <w:vAlign w:val="center"/>
          </w:tcPr>
          <w:p w14:paraId="3CC910A1">
            <w:pPr>
              <w:spacing w:line="360" w:lineRule="auto"/>
              <w:rPr>
                <w:rFonts w:ascii="宋体" w:hAnsi="宋体"/>
                <w:sz w:val="24"/>
                <w:szCs w:val="24"/>
              </w:rPr>
            </w:pPr>
            <w:r>
              <w:rPr>
                <w:rFonts w:hint="eastAsia" w:ascii="宋体" w:hAnsi="宋体"/>
                <w:sz w:val="24"/>
                <w:szCs w:val="24"/>
              </w:rPr>
              <w:t>4</w:t>
            </w:r>
          </w:p>
        </w:tc>
        <w:tc>
          <w:tcPr>
            <w:tcW w:w="900" w:type="dxa"/>
            <w:vMerge w:val="restart"/>
            <w:vAlign w:val="center"/>
          </w:tcPr>
          <w:p w14:paraId="452ACF71">
            <w:pPr>
              <w:spacing w:line="360" w:lineRule="auto"/>
              <w:rPr>
                <w:rFonts w:ascii="宋体" w:hAnsi="宋体"/>
                <w:sz w:val="24"/>
                <w:szCs w:val="24"/>
              </w:rPr>
            </w:pPr>
            <w:r>
              <w:rPr>
                <w:rFonts w:hint="eastAsia" w:ascii="宋体" w:hAnsi="宋体"/>
                <w:sz w:val="24"/>
                <w:szCs w:val="24"/>
              </w:rPr>
              <w:t>★运维监控服务</w:t>
            </w:r>
          </w:p>
        </w:tc>
        <w:tc>
          <w:tcPr>
            <w:tcW w:w="6290" w:type="dxa"/>
            <w:vAlign w:val="center"/>
          </w:tcPr>
          <w:p w14:paraId="0448B8C0">
            <w:pPr>
              <w:spacing w:line="360" w:lineRule="auto"/>
              <w:rPr>
                <w:rFonts w:ascii="宋体" w:hAnsi="宋体"/>
                <w:bCs/>
                <w:sz w:val="24"/>
                <w:szCs w:val="24"/>
              </w:rPr>
            </w:pPr>
            <w:r>
              <w:rPr>
                <w:rFonts w:hint="eastAsia" w:ascii="宋体" w:hAnsi="宋体"/>
                <w:bCs/>
                <w:sz w:val="24"/>
                <w:szCs w:val="24"/>
              </w:rPr>
              <w:t>提供云运维平台支持服务：对运维事件、问题、变更、发布及时追踪，记录处理过程及解决方法，并建立知识库，便于针对出现频率高的事件做好提前预防措施；</w:t>
            </w:r>
          </w:p>
        </w:tc>
        <w:tc>
          <w:tcPr>
            <w:tcW w:w="1275" w:type="dxa"/>
            <w:vAlign w:val="center"/>
          </w:tcPr>
          <w:p w14:paraId="035580B9">
            <w:pPr>
              <w:spacing w:line="360" w:lineRule="auto"/>
              <w:rPr>
                <w:rFonts w:ascii="宋体" w:hAnsi="宋体"/>
                <w:sz w:val="24"/>
                <w:szCs w:val="24"/>
              </w:rPr>
            </w:pPr>
          </w:p>
        </w:tc>
      </w:tr>
      <w:tr w14:paraId="4E415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vAlign w:val="center"/>
          </w:tcPr>
          <w:p w14:paraId="4CB9EA30">
            <w:pPr>
              <w:spacing w:line="360" w:lineRule="auto"/>
              <w:rPr>
                <w:rFonts w:ascii="宋体" w:hAnsi="宋体"/>
                <w:sz w:val="24"/>
                <w:szCs w:val="24"/>
              </w:rPr>
            </w:pPr>
          </w:p>
        </w:tc>
        <w:tc>
          <w:tcPr>
            <w:tcW w:w="900" w:type="dxa"/>
            <w:vMerge w:val="continue"/>
            <w:vAlign w:val="center"/>
          </w:tcPr>
          <w:p w14:paraId="1AAA806D">
            <w:pPr>
              <w:spacing w:line="360" w:lineRule="auto"/>
              <w:rPr>
                <w:rFonts w:ascii="宋体" w:hAnsi="宋体"/>
                <w:sz w:val="24"/>
                <w:szCs w:val="24"/>
              </w:rPr>
            </w:pPr>
          </w:p>
        </w:tc>
        <w:tc>
          <w:tcPr>
            <w:tcW w:w="6290" w:type="dxa"/>
            <w:vAlign w:val="center"/>
          </w:tcPr>
          <w:p w14:paraId="613D3EED">
            <w:pPr>
              <w:spacing w:line="360" w:lineRule="auto"/>
              <w:rPr>
                <w:rFonts w:ascii="宋体" w:hAnsi="宋体"/>
                <w:bCs/>
                <w:sz w:val="24"/>
                <w:szCs w:val="24"/>
              </w:rPr>
            </w:pPr>
            <w:r>
              <w:rPr>
                <w:rFonts w:hint="eastAsia" w:ascii="宋体" w:hAnsi="宋体"/>
                <w:bCs/>
                <w:sz w:val="24"/>
                <w:szCs w:val="24"/>
              </w:rPr>
              <w:t>提供集中运维监控管理展现平台，实现在一个界面将告警管理、HIS数据库空间占用情况、超融合平台健康状态数据投放大屏进行统一展现。能够对麒麟操作系统等进行实时监控，且该系统可在麒麟操作系统上进行部署。提供针对院内自主终端机及相关服务整体监控。</w:t>
            </w:r>
          </w:p>
        </w:tc>
        <w:tc>
          <w:tcPr>
            <w:tcW w:w="1275" w:type="dxa"/>
            <w:vAlign w:val="center"/>
          </w:tcPr>
          <w:p w14:paraId="1471EFDC">
            <w:pPr>
              <w:spacing w:line="360" w:lineRule="auto"/>
              <w:rPr>
                <w:rFonts w:ascii="宋体" w:hAnsi="宋体"/>
                <w:sz w:val="24"/>
                <w:szCs w:val="24"/>
              </w:rPr>
            </w:pPr>
          </w:p>
        </w:tc>
      </w:tr>
    </w:tbl>
    <w:p w14:paraId="6AE5400E">
      <w:pPr>
        <w:spacing w:before="156" w:beforeLines="50" w:after="156" w:afterLines="50" w:line="360" w:lineRule="auto"/>
        <w:rPr>
          <w:rFonts w:ascii="宋体" w:hAnsi="宋体" w:cs="宋体"/>
          <w:b/>
          <w:bCs/>
          <w:sz w:val="28"/>
          <w:szCs w:val="28"/>
        </w:rPr>
      </w:pPr>
      <w:r>
        <w:rPr>
          <w:rFonts w:hint="eastAsia" w:ascii="宋体" w:hAnsi="宋体" w:cs="宋体"/>
          <w:b/>
          <w:bCs/>
          <w:sz w:val="28"/>
          <w:szCs w:val="28"/>
        </w:rPr>
        <w:t>★（三）服务时间</w:t>
      </w:r>
    </w:p>
    <w:p w14:paraId="520BCA2E">
      <w:pPr>
        <w:pStyle w:val="11"/>
        <w:spacing w:line="360" w:lineRule="auto"/>
        <w:ind w:firstLine="480" w:firstLineChars="200"/>
        <w:rPr>
          <w:rFonts w:ascii="宋体" w:hAnsi="宋体" w:eastAsia="宋体" w:cs="宋体"/>
          <w:color w:val="auto"/>
        </w:rPr>
      </w:pPr>
      <w:r>
        <w:rPr>
          <w:rFonts w:hint="eastAsia" w:ascii="宋体" w:hAnsi="宋体" w:eastAsia="宋体" w:cs="宋体"/>
          <w:color w:val="auto"/>
        </w:rPr>
        <w:t>服务期：</w:t>
      </w:r>
      <w:r>
        <w:rPr>
          <w:rFonts w:hint="eastAsia" w:ascii="宋体" w:hAnsi="宋体" w:eastAsia="宋体"/>
          <w:highlight w:val="none"/>
        </w:rPr>
        <w:t>自20</w:t>
      </w:r>
      <w:r>
        <w:rPr>
          <w:rFonts w:ascii="宋体" w:hAnsi="宋体" w:eastAsia="宋体"/>
          <w:highlight w:val="none"/>
        </w:rPr>
        <w:t>25</w:t>
      </w:r>
      <w:r>
        <w:rPr>
          <w:rFonts w:hint="eastAsia" w:ascii="宋体" w:hAnsi="宋体" w:eastAsia="宋体"/>
          <w:highlight w:val="none"/>
        </w:rPr>
        <w:t>年</w:t>
      </w:r>
      <w:r>
        <w:rPr>
          <w:rFonts w:ascii="宋体" w:hAnsi="宋体" w:eastAsia="宋体"/>
          <w:highlight w:val="none"/>
        </w:rPr>
        <w:t>9</w:t>
      </w:r>
      <w:r>
        <w:rPr>
          <w:rFonts w:hint="eastAsia" w:ascii="宋体" w:hAnsi="宋体" w:eastAsia="宋体"/>
          <w:highlight w:val="none"/>
        </w:rPr>
        <w:t>月</w:t>
      </w:r>
      <w:r>
        <w:rPr>
          <w:rFonts w:ascii="宋体" w:hAnsi="宋体" w:eastAsia="宋体"/>
          <w:highlight w:val="none"/>
        </w:rPr>
        <w:t>23</w:t>
      </w:r>
      <w:r>
        <w:rPr>
          <w:rFonts w:hint="eastAsia" w:ascii="宋体" w:hAnsi="宋体" w:eastAsia="宋体"/>
          <w:highlight w:val="none"/>
        </w:rPr>
        <w:t>日至202</w:t>
      </w:r>
      <w:r>
        <w:rPr>
          <w:rFonts w:ascii="宋体" w:hAnsi="宋体" w:eastAsia="宋体"/>
          <w:highlight w:val="none"/>
        </w:rPr>
        <w:t>6</w:t>
      </w:r>
      <w:r>
        <w:rPr>
          <w:rFonts w:hint="eastAsia" w:ascii="宋体" w:hAnsi="宋体" w:eastAsia="宋体"/>
          <w:highlight w:val="none"/>
        </w:rPr>
        <w:t>年</w:t>
      </w:r>
      <w:r>
        <w:rPr>
          <w:rFonts w:ascii="宋体" w:hAnsi="宋体" w:eastAsia="宋体"/>
          <w:highlight w:val="none"/>
        </w:rPr>
        <w:t>9</w:t>
      </w:r>
      <w:r>
        <w:rPr>
          <w:rFonts w:hint="eastAsia" w:ascii="宋体" w:hAnsi="宋体" w:eastAsia="宋体"/>
          <w:highlight w:val="none"/>
        </w:rPr>
        <w:t>月2</w:t>
      </w:r>
      <w:r>
        <w:rPr>
          <w:rFonts w:ascii="宋体" w:hAnsi="宋体" w:eastAsia="宋体"/>
          <w:highlight w:val="none"/>
        </w:rPr>
        <w:t>2</w:t>
      </w:r>
      <w:r>
        <w:rPr>
          <w:rFonts w:hint="eastAsia" w:ascii="宋体" w:hAnsi="宋体" w:eastAsia="宋体"/>
          <w:highlight w:val="none"/>
        </w:rPr>
        <w:t>日止（</w:t>
      </w:r>
      <w:r>
        <w:rPr>
          <w:rFonts w:hint="eastAsia" w:ascii="宋体" w:hAnsi="宋体" w:eastAsia="宋体" w:cs="宋体"/>
          <w:color w:val="auto"/>
        </w:rPr>
        <w:t>具体以合同为准）。</w:t>
      </w:r>
    </w:p>
    <w:p w14:paraId="2FD8469E">
      <w:pPr>
        <w:numPr>
          <w:ilvl w:val="0"/>
          <w:numId w:val="0"/>
        </w:numPr>
        <w:ind w:firstLine="482"/>
        <w:jc w:val="left"/>
        <w:rPr>
          <w:rFonts w:hint="eastAsia" w:ascii="宋体" w:hAnsi="宋体" w:cs="宋体"/>
          <w:b/>
          <w:lang w:val="en-US" w:eastAsia="zh-CN"/>
        </w:rPr>
      </w:pPr>
    </w:p>
    <w:p w14:paraId="77A5E223">
      <w:pPr>
        <w:numPr>
          <w:ilvl w:val="0"/>
          <w:numId w:val="0"/>
        </w:numPr>
        <w:ind w:firstLine="482"/>
        <w:jc w:val="left"/>
        <w:rPr>
          <w:rFonts w:hint="eastAsia" w:ascii="宋体" w:hAnsi="宋体" w:cs="宋体"/>
          <w:b/>
          <w:lang w:val="en-US" w:eastAsia="zh-CN"/>
        </w:rPr>
      </w:pPr>
      <w:r>
        <w:rPr>
          <w:rFonts w:hint="eastAsia" w:ascii="宋体" w:hAnsi="宋体" w:cs="宋体"/>
          <w:b/>
          <w:bCs/>
          <w:sz w:val="28"/>
          <w:szCs w:val="28"/>
        </w:rPr>
        <w:t>（</w:t>
      </w:r>
      <w:r>
        <w:rPr>
          <w:rFonts w:hint="eastAsia" w:ascii="宋体" w:hAnsi="宋体" w:cs="宋体"/>
          <w:b/>
          <w:bCs/>
          <w:sz w:val="28"/>
          <w:szCs w:val="28"/>
          <w:lang w:val="en-US" w:eastAsia="zh-CN"/>
        </w:rPr>
        <w:t>四</w:t>
      </w:r>
      <w:r>
        <w:rPr>
          <w:rFonts w:hint="eastAsia" w:ascii="宋体" w:hAnsi="宋体" w:cs="宋体"/>
          <w:b/>
          <w:bCs/>
          <w:sz w:val="28"/>
          <w:szCs w:val="28"/>
        </w:rPr>
        <w:t>）服务时间</w:t>
      </w:r>
      <w:r>
        <w:rPr>
          <w:rFonts w:hint="eastAsia" w:ascii="宋体" w:hAnsi="宋体" w:cs="宋体"/>
          <w:b/>
          <w:lang w:val="en-US" w:eastAsia="zh-CN"/>
        </w:rPr>
        <w:t>付款方式</w:t>
      </w:r>
    </w:p>
    <w:p w14:paraId="76A6E4E6">
      <w:pPr>
        <w:pStyle w:val="13"/>
        <w:ind w:firstLine="480"/>
        <w:rPr>
          <w:rFonts w:hint="eastAsia" w:ascii="宋体" w:hAnsi="宋体" w:eastAsia="宋体" w:cs="......."/>
          <w:color w:val="000000"/>
          <w:kern w:val="0"/>
          <w:sz w:val="24"/>
          <w:szCs w:val="24"/>
          <w:highlight w:val="none"/>
          <w:lang w:val="en-US" w:eastAsia="zh-CN" w:bidi="ar-SA"/>
        </w:rPr>
      </w:pPr>
      <w:r>
        <w:rPr>
          <w:rFonts w:hint="eastAsia" w:ascii="宋体" w:hAnsi="宋体" w:eastAsia="宋体" w:cs="......."/>
          <w:color w:val="000000"/>
          <w:kern w:val="0"/>
          <w:sz w:val="24"/>
          <w:szCs w:val="24"/>
          <w:highlight w:val="none"/>
          <w:lang w:val="en-US" w:eastAsia="zh-CN" w:bidi="ar-SA"/>
        </w:rPr>
        <w:t>签订合同后15个工作日内支付合同总额的50%,等保测评结束完成验收合格后15个工作日内支付合同总额的50%。(特殊情况以合同为准)。</w:t>
      </w:r>
    </w:p>
    <w:p w14:paraId="68753EBD">
      <w:pPr>
        <w:spacing w:before="156" w:beforeLines="50" w:after="156" w:afterLines="50" w:line="360" w:lineRule="auto"/>
        <w:rPr>
          <w:rFonts w:hint="eastAsia" w:ascii="宋体" w:hAnsi="宋体" w:eastAsia="宋体" w:cs="......."/>
          <w:color w:val="000000"/>
          <w:kern w:val="0"/>
          <w:sz w:val="24"/>
          <w:szCs w:val="24"/>
          <w:highlight w:val="none"/>
          <w:lang w:val="en-US" w:eastAsia="zh-CN" w:bidi="ar-SA"/>
        </w:rPr>
      </w:pPr>
      <w:bookmarkStart w:id="1" w:name="_GoBack"/>
      <w:bookmarkEnd w:id="1"/>
    </w:p>
    <w:p w14:paraId="6C6D0ACF">
      <w:pPr>
        <w:spacing w:before="156" w:beforeLines="50" w:after="156" w:afterLines="50" w:line="360" w:lineRule="auto"/>
        <w:rPr>
          <w:rFonts w:hint="eastAsia" w:ascii="宋体" w:hAnsi="宋体" w:cs="宋体"/>
          <w:b/>
          <w:bCs/>
          <w:sz w:val="28"/>
          <w:szCs w:val="28"/>
        </w:rPr>
      </w:pPr>
    </w:p>
    <w:p w14:paraId="54EA953B">
      <w:pPr>
        <w:spacing w:before="156" w:beforeLines="50" w:after="156" w:afterLines="50" w:line="360" w:lineRule="auto"/>
        <w:rPr>
          <w:rFonts w:hint="eastAsia" w:ascii="宋体" w:hAnsi="宋体" w:cs="宋体"/>
          <w:b/>
          <w:bCs/>
          <w:sz w:val="28"/>
          <w:szCs w:val="28"/>
        </w:rPr>
      </w:pPr>
    </w:p>
    <w:p w14:paraId="4A34D1EA">
      <w:pPr>
        <w:spacing w:before="156" w:beforeLines="50" w:after="156" w:afterLines="50" w:line="360" w:lineRule="auto"/>
        <w:rPr>
          <w:rFonts w:hint="eastAsia" w:ascii="宋体" w:hAnsi="宋体" w:cs="宋体"/>
          <w:b/>
          <w:bCs/>
          <w:sz w:val="28"/>
          <w:szCs w:val="28"/>
        </w:rPr>
      </w:pPr>
    </w:p>
    <w:p w14:paraId="5DBE67A0">
      <w:pPr>
        <w:spacing w:before="156" w:beforeLines="50" w:after="156" w:afterLines="50" w:line="360" w:lineRule="auto"/>
        <w:rPr>
          <w:rFonts w:ascii="宋体" w:hAnsi="宋体" w:cs="宋体"/>
          <w:b/>
          <w:bCs/>
          <w:sz w:val="28"/>
          <w:szCs w:val="28"/>
        </w:rPr>
      </w:pPr>
      <w:r>
        <w:rPr>
          <w:rFonts w:hint="eastAsia" w:ascii="宋体" w:hAnsi="宋体" w:cs="宋体"/>
          <w:b/>
          <w:bCs/>
          <w:sz w:val="28"/>
          <w:szCs w:val="28"/>
        </w:rPr>
        <w:t>附件：清单</w:t>
      </w:r>
    </w:p>
    <w:p w14:paraId="638CF5B3">
      <w:pPr>
        <w:spacing w:line="360" w:lineRule="auto"/>
        <w:ind w:firstLine="480" w:firstLineChars="200"/>
        <w:rPr>
          <w:rFonts w:ascii="宋体" w:hAnsi="宋体"/>
          <w:sz w:val="24"/>
          <w:szCs w:val="24"/>
        </w:rPr>
      </w:pPr>
      <w:r>
        <w:rPr>
          <w:rFonts w:hint="eastAsia" w:ascii="宋体" w:hAnsi="宋体"/>
          <w:sz w:val="24"/>
          <w:szCs w:val="24"/>
        </w:rPr>
        <w:t>该项运维工作共设计各类硬件设备及系统。</w:t>
      </w:r>
    </w:p>
    <w:p w14:paraId="431FD788">
      <w:pPr>
        <w:spacing w:line="360" w:lineRule="auto"/>
        <w:ind w:firstLine="482" w:firstLineChars="200"/>
        <w:rPr>
          <w:rFonts w:ascii="宋体" w:hAnsi="宋体"/>
          <w:sz w:val="24"/>
          <w:szCs w:val="24"/>
        </w:rPr>
      </w:pPr>
      <w:r>
        <w:rPr>
          <w:rFonts w:hint="eastAsia" w:ascii="宋体" w:hAnsi="宋体" w:cs="宋体"/>
          <w:b/>
          <w:bCs/>
          <w:sz w:val="24"/>
          <w:szCs w:val="24"/>
        </w:rPr>
        <w:t>★</w:t>
      </w:r>
      <w:r>
        <w:rPr>
          <w:rFonts w:hint="eastAsia" w:ascii="宋体" w:hAnsi="宋体"/>
          <w:sz w:val="24"/>
          <w:szCs w:val="24"/>
        </w:rPr>
        <w:t>投标人须提供备份设备（黑方）现有厂商出具服务承诺函（加盖现有厂商公章，承诺内容涵盖提供原厂商设备维保与技术支持）复印件并加盖投标人公章。</w:t>
      </w:r>
    </w:p>
    <w:tbl>
      <w:tblPr>
        <w:tblStyle w:val="6"/>
        <w:tblW w:w="8275" w:type="dxa"/>
        <w:tblInd w:w="0" w:type="dxa"/>
        <w:shd w:val="clear" w:color="auto" w:fill="FFFFFF" w:themeFill="background1"/>
        <w:tblLayout w:type="autofit"/>
        <w:tblCellMar>
          <w:top w:w="0" w:type="dxa"/>
          <w:left w:w="108" w:type="dxa"/>
          <w:bottom w:w="0" w:type="dxa"/>
          <w:right w:w="108" w:type="dxa"/>
        </w:tblCellMar>
      </w:tblPr>
      <w:tblGrid>
        <w:gridCol w:w="2515"/>
        <w:gridCol w:w="3600"/>
        <w:gridCol w:w="2160"/>
      </w:tblGrid>
      <w:tr w14:paraId="5126F71D">
        <w:tblPrEx>
          <w:shd w:val="clear" w:color="auto" w:fill="FFFFFF" w:themeFill="background1"/>
          <w:tblCellMar>
            <w:top w:w="0" w:type="dxa"/>
            <w:left w:w="108" w:type="dxa"/>
            <w:bottom w:w="0" w:type="dxa"/>
            <w:right w:w="108" w:type="dxa"/>
          </w:tblCellMar>
        </w:tblPrEx>
        <w:trPr>
          <w:trHeight w:val="535" w:hRule="atLeast"/>
        </w:trPr>
        <w:tc>
          <w:tcPr>
            <w:tcW w:w="25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575D5F1">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设备类别</w:t>
            </w:r>
          </w:p>
        </w:tc>
        <w:tc>
          <w:tcPr>
            <w:tcW w:w="3600" w:type="dxa"/>
            <w:tcBorders>
              <w:top w:val="single" w:color="auto" w:sz="4" w:space="0"/>
              <w:left w:val="nil"/>
              <w:bottom w:val="single" w:color="auto" w:sz="4" w:space="0"/>
              <w:right w:val="single" w:color="auto" w:sz="4" w:space="0"/>
            </w:tcBorders>
            <w:shd w:val="clear" w:color="auto" w:fill="FFFFFF" w:themeFill="background1"/>
            <w:vAlign w:val="center"/>
          </w:tcPr>
          <w:p w14:paraId="5D620117">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涉及品牌</w:t>
            </w:r>
          </w:p>
        </w:tc>
        <w:tc>
          <w:tcPr>
            <w:tcW w:w="2160" w:type="dxa"/>
            <w:tcBorders>
              <w:top w:val="single" w:color="auto" w:sz="4" w:space="0"/>
              <w:left w:val="nil"/>
              <w:bottom w:val="single" w:color="auto" w:sz="4" w:space="0"/>
              <w:right w:val="single" w:color="auto" w:sz="4" w:space="0"/>
            </w:tcBorders>
            <w:shd w:val="clear" w:color="auto" w:fill="FFFFFF" w:themeFill="background1"/>
            <w:vAlign w:val="center"/>
          </w:tcPr>
          <w:p w14:paraId="6F8DC431">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2025年度</w:t>
            </w:r>
          </w:p>
        </w:tc>
      </w:tr>
      <w:tr w14:paraId="7CA42DF7">
        <w:tblPrEx>
          <w:shd w:val="clear" w:color="auto" w:fill="FFFFFF" w:themeFill="background1"/>
          <w:tblCellMar>
            <w:top w:w="0" w:type="dxa"/>
            <w:left w:w="108" w:type="dxa"/>
            <w:bottom w:w="0" w:type="dxa"/>
            <w:right w:w="108" w:type="dxa"/>
          </w:tblCellMar>
        </w:tblPrEx>
        <w:trPr>
          <w:trHeight w:val="640" w:hRule="atLeast"/>
        </w:trPr>
        <w:tc>
          <w:tcPr>
            <w:tcW w:w="2515" w:type="dxa"/>
            <w:tcBorders>
              <w:top w:val="nil"/>
              <w:left w:val="single" w:color="auto" w:sz="4" w:space="0"/>
              <w:bottom w:val="single" w:color="auto" w:sz="4" w:space="0"/>
              <w:right w:val="single" w:color="auto" w:sz="4" w:space="0"/>
            </w:tcBorders>
            <w:shd w:val="clear" w:color="auto" w:fill="FFFFFF" w:themeFill="background1"/>
            <w:vAlign w:val="center"/>
          </w:tcPr>
          <w:p w14:paraId="5F018D6A">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服务器</w:t>
            </w:r>
          </w:p>
        </w:tc>
        <w:tc>
          <w:tcPr>
            <w:tcW w:w="3600" w:type="dxa"/>
            <w:tcBorders>
              <w:top w:val="nil"/>
              <w:left w:val="nil"/>
              <w:bottom w:val="single" w:color="auto" w:sz="4" w:space="0"/>
              <w:right w:val="single" w:color="auto" w:sz="4" w:space="0"/>
            </w:tcBorders>
            <w:shd w:val="clear" w:color="auto" w:fill="FFFFFF" w:themeFill="background1"/>
            <w:vAlign w:val="center"/>
          </w:tcPr>
          <w:p w14:paraId="2D186853">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华为、DELL、HP、IBM、联想</w:t>
            </w:r>
          </w:p>
        </w:tc>
        <w:tc>
          <w:tcPr>
            <w:tcW w:w="2160" w:type="dxa"/>
            <w:tcBorders>
              <w:top w:val="nil"/>
              <w:left w:val="nil"/>
              <w:bottom w:val="single" w:color="auto" w:sz="4" w:space="0"/>
              <w:right w:val="single" w:color="auto" w:sz="4" w:space="0"/>
            </w:tcBorders>
            <w:shd w:val="clear" w:color="auto" w:fill="FFFFFF" w:themeFill="background1"/>
            <w:vAlign w:val="center"/>
          </w:tcPr>
          <w:p w14:paraId="7B28DF03">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50</w:t>
            </w:r>
          </w:p>
        </w:tc>
      </w:tr>
      <w:tr w14:paraId="3A7D8B03">
        <w:tblPrEx>
          <w:shd w:val="clear" w:color="auto" w:fill="FFFFFF" w:themeFill="background1"/>
          <w:tblCellMar>
            <w:top w:w="0" w:type="dxa"/>
            <w:left w:w="108" w:type="dxa"/>
            <w:bottom w:w="0" w:type="dxa"/>
            <w:right w:w="108" w:type="dxa"/>
          </w:tblCellMar>
        </w:tblPrEx>
        <w:trPr>
          <w:trHeight w:val="661" w:hRule="atLeast"/>
        </w:trPr>
        <w:tc>
          <w:tcPr>
            <w:tcW w:w="2515" w:type="dxa"/>
            <w:tcBorders>
              <w:top w:val="nil"/>
              <w:left w:val="single" w:color="auto" w:sz="4" w:space="0"/>
              <w:bottom w:val="single" w:color="auto" w:sz="4" w:space="0"/>
              <w:right w:val="single" w:color="auto" w:sz="4" w:space="0"/>
            </w:tcBorders>
            <w:shd w:val="clear" w:color="auto" w:fill="FFFFFF" w:themeFill="background1"/>
            <w:vAlign w:val="center"/>
          </w:tcPr>
          <w:p w14:paraId="68BC455D">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超融合</w:t>
            </w:r>
          </w:p>
        </w:tc>
        <w:tc>
          <w:tcPr>
            <w:tcW w:w="3600" w:type="dxa"/>
            <w:tcBorders>
              <w:top w:val="nil"/>
              <w:left w:val="nil"/>
              <w:bottom w:val="single" w:color="auto" w:sz="4" w:space="0"/>
              <w:right w:val="single" w:color="auto" w:sz="4" w:space="0"/>
            </w:tcBorders>
            <w:shd w:val="clear" w:color="auto" w:fill="FFFFFF" w:themeFill="background1"/>
            <w:vAlign w:val="center"/>
          </w:tcPr>
          <w:p w14:paraId="5F0E7F43">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深信服、VX Rail</w:t>
            </w:r>
          </w:p>
        </w:tc>
        <w:tc>
          <w:tcPr>
            <w:tcW w:w="2160" w:type="dxa"/>
            <w:tcBorders>
              <w:top w:val="nil"/>
              <w:left w:val="nil"/>
              <w:bottom w:val="single" w:color="auto" w:sz="4" w:space="0"/>
              <w:right w:val="single" w:color="auto" w:sz="4" w:space="0"/>
            </w:tcBorders>
            <w:shd w:val="clear" w:color="auto" w:fill="FFFFFF" w:themeFill="background1"/>
            <w:vAlign w:val="center"/>
          </w:tcPr>
          <w:p w14:paraId="005E8837">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18</w:t>
            </w:r>
          </w:p>
        </w:tc>
      </w:tr>
      <w:tr w14:paraId="227250FF">
        <w:tblPrEx>
          <w:tblCellMar>
            <w:top w:w="0" w:type="dxa"/>
            <w:left w:w="108" w:type="dxa"/>
            <w:bottom w:w="0" w:type="dxa"/>
            <w:right w:w="108" w:type="dxa"/>
          </w:tblCellMar>
        </w:tblPrEx>
        <w:trPr>
          <w:trHeight w:val="640" w:hRule="atLeast"/>
        </w:trPr>
        <w:tc>
          <w:tcPr>
            <w:tcW w:w="2515" w:type="dxa"/>
            <w:tcBorders>
              <w:top w:val="nil"/>
              <w:left w:val="single" w:color="auto" w:sz="4" w:space="0"/>
              <w:bottom w:val="single" w:color="auto" w:sz="4" w:space="0"/>
              <w:right w:val="single" w:color="auto" w:sz="4" w:space="0"/>
            </w:tcBorders>
            <w:shd w:val="clear" w:color="auto" w:fill="FFFFFF" w:themeFill="background1"/>
            <w:vAlign w:val="center"/>
          </w:tcPr>
          <w:p w14:paraId="6D19D566">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网络</w:t>
            </w:r>
          </w:p>
        </w:tc>
        <w:tc>
          <w:tcPr>
            <w:tcW w:w="3600" w:type="dxa"/>
            <w:tcBorders>
              <w:top w:val="nil"/>
              <w:left w:val="nil"/>
              <w:bottom w:val="single" w:color="auto" w:sz="4" w:space="0"/>
              <w:right w:val="single" w:color="auto" w:sz="4" w:space="0"/>
            </w:tcBorders>
            <w:shd w:val="clear" w:color="auto" w:fill="FFFFFF" w:themeFill="background1"/>
            <w:vAlign w:val="center"/>
          </w:tcPr>
          <w:p w14:paraId="72C5C248">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华为、H3C、锐捷、DELL</w:t>
            </w:r>
          </w:p>
        </w:tc>
        <w:tc>
          <w:tcPr>
            <w:tcW w:w="2160" w:type="dxa"/>
            <w:tcBorders>
              <w:top w:val="nil"/>
              <w:left w:val="nil"/>
              <w:bottom w:val="single" w:color="auto" w:sz="4" w:space="0"/>
              <w:right w:val="single" w:color="auto" w:sz="4" w:space="0"/>
            </w:tcBorders>
            <w:shd w:val="clear" w:color="auto" w:fill="FFFFFF" w:themeFill="background1"/>
            <w:vAlign w:val="center"/>
          </w:tcPr>
          <w:p w14:paraId="3339C618">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8</w:t>
            </w:r>
          </w:p>
        </w:tc>
      </w:tr>
      <w:tr w14:paraId="586CA611">
        <w:tblPrEx>
          <w:tblCellMar>
            <w:top w:w="0" w:type="dxa"/>
            <w:left w:w="108" w:type="dxa"/>
            <w:bottom w:w="0" w:type="dxa"/>
            <w:right w:w="108" w:type="dxa"/>
          </w:tblCellMar>
        </w:tblPrEx>
        <w:trPr>
          <w:trHeight w:val="640" w:hRule="atLeast"/>
        </w:trPr>
        <w:tc>
          <w:tcPr>
            <w:tcW w:w="2515" w:type="dxa"/>
            <w:tcBorders>
              <w:top w:val="nil"/>
              <w:left w:val="single" w:color="auto" w:sz="4" w:space="0"/>
              <w:bottom w:val="single" w:color="auto" w:sz="4" w:space="0"/>
              <w:right w:val="single" w:color="auto" w:sz="4" w:space="0"/>
            </w:tcBorders>
            <w:shd w:val="clear" w:color="auto" w:fill="FFFFFF" w:themeFill="background1"/>
            <w:vAlign w:val="center"/>
          </w:tcPr>
          <w:p w14:paraId="31AB4F4D">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存储</w:t>
            </w:r>
          </w:p>
        </w:tc>
        <w:tc>
          <w:tcPr>
            <w:tcW w:w="3600" w:type="dxa"/>
            <w:tcBorders>
              <w:top w:val="nil"/>
              <w:left w:val="nil"/>
              <w:bottom w:val="single" w:color="auto" w:sz="4" w:space="0"/>
              <w:right w:val="single" w:color="auto" w:sz="4" w:space="0"/>
            </w:tcBorders>
            <w:shd w:val="clear" w:color="auto" w:fill="FFFFFF" w:themeFill="background1"/>
            <w:vAlign w:val="center"/>
          </w:tcPr>
          <w:p w14:paraId="58B41A3B">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宏杉、日立、DELL</w:t>
            </w:r>
          </w:p>
        </w:tc>
        <w:tc>
          <w:tcPr>
            <w:tcW w:w="2160" w:type="dxa"/>
            <w:tcBorders>
              <w:top w:val="nil"/>
              <w:left w:val="nil"/>
              <w:bottom w:val="single" w:color="auto" w:sz="4" w:space="0"/>
              <w:right w:val="single" w:color="auto" w:sz="4" w:space="0"/>
            </w:tcBorders>
            <w:shd w:val="clear" w:color="auto" w:fill="FFFFFF" w:themeFill="background1"/>
            <w:vAlign w:val="center"/>
          </w:tcPr>
          <w:p w14:paraId="4B0F2F70">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16</w:t>
            </w:r>
          </w:p>
        </w:tc>
      </w:tr>
      <w:tr w14:paraId="51FCC186">
        <w:tblPrEx>
          <w:shd w:val="clear" w:color="auto" w:fill="FFFFFF" w:themeFill="background1"/>
          <w:tblCellMar>
            <w:top w:w="0" w:type="dxa"/>
            <w:left w:w="108" w:type="dxa"/>
            <w:bottom w:w="0" w:type="dxa"/>
            <w:right w:w="108" w:type="dxa"/>
          </w:tblCellMar>
        </w:tblPrEx>
        <w:trPr>
          <w:trHeight w:val="577" w:hRule="atLeast"/>
        </w:trPr>
        <w:tc>
          <w:tcPr>
            <w:tcW w:w="2515" w:type="dxa"/>
            <w:tcBorders>
              <w:top w:val="nil"/>
              <w:left w:val="single" w:color="auto" w:sz="4" w:space="0"/>
              <w:bottom w:val="single" w:color="auto" w:sz="4" w:space="0"/>
              <w:right w:val="single" w:color="auto" w:sz="4" w:space="0"/>
            </w:tcBorders>
            <w:shd w:val="clear" w:color="auto" w:fill="FFFFFF" w:themeFill="background1"/>
            <w:vAlign w:val="center"/>
          </w:tcPr>
          <w:p w14:paraId="08B9E7A8">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安全</w:t>
            </w:r>
          </w:p>
        </w:tc>
        <w:tc>
          <w:tcPr>
            <w:tcW w:w="3600" w:type="dxa"/>
            <w:tcBorders>
              <w:top w:val="nil"/>
              <w:left w:val="nil"/>
              <w:bottom w:val="single" w:color="auto" w:sz="4" w:space="0"/>
              <w:right w:val="single" w:color="auto" w:sz="4" w:space="0"/>
            </w:tcBorders>
            <w:shd w:val="clear" w:color="auto" w:fill="FFFFFF" w:themeFill="background1"/>
            <w:vAlign w:val="center"/>
          </w:tcPr>
          <w:p w14:paraId="55DA6BFE">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天融信、CFCA</w:t>
            </w:r>
          </w:p>
        </w:tc>
        <w:tc>
          <w:tcPr>
            <w:tcW w:w="2160" w:type="dxa"/>
            <w:tcBorders>
              <w:top w:val="nil"/>
              <w:left w:val="nil"/>
              <w:bottom w:val="single" w:color="auto" w:sz="4" w:space="0"/>
              <w:right w:val="single" w:color="auto" w:sz="4" w:space="0"/>
            </w:tcBorders>
            <w:shd w:val="clear" w:color="auto" w:fill="FFFFFF" w:themeFill="background1"/>
            <w:vAlign w:val="center"/>
          </w:tcPr>
          <w:p w14:paraId="04EDD43B">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r>
      <w:tr w14:paraId="351C325E">
        <w:tblPrEx>
          <w:tblCellMar>
            <w:top w:w="0" w:type="dxa"/>
            <w:left w:w="108" w:type="dxa"/>
            <w:bottom w:w="0" w:type="dxa"/>
            <w:right w:w="108" w:type="dxa"/>
          </w:tblCellMar>
        </w:tblPrEx>
        <w:trPr>
          <w:trHeight w:val="521" w:hRule="atLeast"/>
        </w:trPr>
        <w:tc>
          <w:tcPr>
            <w:tcW w:w="2515" w:type="dxa"/>
            <w:tcBorders>
              <w:top w:val="nil"/>
              <w:left w:val="single" w:color="auto" w:sz="4" w:space="0"/>
              <w:bottom w:val="single" w:color="auto" w:sz="4" w:space="0"/>
              <w:right w:val="single" w:color="auto" w:sz="4" w:space="0"/>
            </w:tcBorders>
            <w:shd w:val="clear" w:color="auto" w:fill="FFFFFF" w:themeFill="background1"/>
            <w:vAlign w:val="center"/>
          </w:tcPr>
          <w:p w14:paraId="189BA2D9">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光纤交换</w:t>
            </w:r>
          </w:p>
        </w:tc>
        <w:tc>
          <w:tcPr>
            <w:tcW w:w="3600" w:type="dxa"/>
            <w:tcBorders>
              <w:top w:val="nil"/>
              <w:left w:val="nil"/>
              <w:bottom w:val="single" w:color="auto" w:sz="4" w:space="0"/>
              <w:right w:val="single" w:color="auto" w:sz="4" w:space="0"/>
            </w:tcBorders>
            <w:shd w:val="clear" w:color="auto" w:fill="FFFFFF" w:themeFill="background1"/>
            <w:vAlign w:val="center"/>
          </w:tcPr>
          <w:p w14:paraId="1A627F47">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华为、Brocade、DELL</w:t>
            </w:r>
          </w:p>
        </w:tc>
        <w:tc>
          <w:tcPr>
            <w:tcW w:w="2160" w:type="dxa"/>
            <w:tcBorders>
              <w:top w:val="nil"/>
              <w:left w:val="nil"/>
              <w:bottom w:val="single" w:color="auto" w:sz="4" w:space="0"/>
              <w:right w:val="single" w:color="auto" w:sz="4" w:space="0"/>
            </w:tcBorders>
            <w:shd w:val="clear" w:color="auto" w:fill="FFFFFF" w:themeFill="background1"/>
            <w:vAlign w:val="center"/>
          </w:tcPr>
          <w:p w14:paraId="13358840">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11</w:t>
            </w:r>
          </w:p>
        </w:tc>
      </w:tr>
      <w:tr w14:paraId="4F32118C">
        <w:tblPrEx>
          <w:shd w:val="clear" w:color="auto" w:fill="FFFFFF" w:themeFill="background1"/>
          <w:tblCellMar>
            <w:top w:w="0" w:type="dxa"/>
            <w:left w:w="108" w:type="dxa"/>
            <w:bottom w:w="0" w:type="dxa"/>
            <w:right w:w="108" w:type="dxa"/>
          </w:tblCellMar>
        </w:tblPrEx>
        <w:trPr>
          <w:trHeight w:val="605" w:hRule="atLeast"/>
        </w:trPr>
        <w:tc>
          <w:tcPr>
            <w:tcW w:w="2515" w:type="dxa"/>
            <w:tcBorders>
              <w:top w:val="nil"/>
              <w:left w:val="single" w:color="auto" w:sz="4" w:space="0"/>
              <w:bottom w:val="single" w:color="auto" w:sz="4" w:space="0"/>
              <w:right w:val="single" w:color="auto" w:sz="4" w:space="0"/>
            </w:tcBorders>
            <w:shd w:val="clear" w:color="auto" w:fill="FFFFFF" w:themeFill="background1"/>
            <w:vAlign w:val="center"/>
          </w:tcPr>
          <w:p w14:paraId="051ED9AD">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备份</w:t>
            </w:r>
          </w:p>
        </w:tc>
        <w:tc>
          <w:tcPr>
            <w:tcW w:w="3600" w:type="dxa"/>
            <w:tcBorders>
              <w:top w:val="nil"/>
              <w:left w:val="nil"/>
              <w:bottom w:val="single" w:color="auto" w:sz="4" w:space="0"/>
              <w:right w:val="single" w:color="auto" w:sz="4" w:space="0"/>
            </w:tcBorders>
            <w:shd w:val="clear" w:color="auto" w:fill="FFFFFF" w:themeFill="background1"/>
            <w:vAlign w:val="center"/>
          </w:tcPr>
          <w:p w14:paraId="50A05C31">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黑方</w:t>
            </w:r>
          </w:p>
        </w:tc>
        <w:tc>
          <w:tcPr>
            <w:tcW w:w="2160" w:type="dxa"/>
            <w:tcBorders>
              <w:top w:val="nil"/>
              <w:left w:val="nil"/>
              <w:bottom w:val="single" w:color="auto" w:sz="4" w:space="0"/>
              <w:right w:val="single" w:color="auto" w:sz="4" w:space="0"/>
            </w:tcBorders>
            <w:shd w:val="clear" w:color="auto" w:fill="FFFFFF" w:themeFill="background1"/>
            <w:vAlign w:val="center"/>
          </w:tcPr>
          <w:p w14:paraId="51443056">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r>
    </w:tbl>
    <w:p w14:paraId="47F4543E">
      <w:pPr>
        <w:pStyle w:val="3"/>
        <w:rPr>
          <w:rFonts w:ascii="宋体" w:hAnsi="宋体"/>
          <w:sz w:val="24"/>
          <w:szCs w:val="24"/>
        </w:rPr>
      </w:pPr>
    </w:p>
    <w:p w14:paraId="4368E1E6">
      <w:pPr>
        <w:spacing w:line="360" w:lineRule="auto"/>
        <w:ind w:firstLine="482" w:firstLineChars="200"/>
        <w:rPr>
          <w:rFonts w:ascii="宋体" w:hAnsi="宋体" w:cs="宋体"/>
          <w:b/>
          <w:bCs/>
          <w:sz w:val="24"/>
          <w:szCs w:val="24"/>
        </w:rPr>
      </w:pPr>
      <w:r>
        <w:rPr>
          <w:rFonts w:hint="eastAsia" w:ascii="宋体" w:hAnsi="宋体" w:cs="宋体"/>
          <w:b/>
          <w:bCs/>
          <w:sz w:val="24"/>
          <w:szCs w:val="24"/>
        </w:rPr>
        <w:t>注：“</w:t>
      </w:r>
      <w:bookmarkStart w:id="0" w:name="_Hlk103515343"/>
      <w:r>
        <w:rPr>
          <w:rFonts w:hint="eastAsia" w:ascii="宋体" w:hAnsi="宋体" w:cs="宋体"/>
          <w:b/>
          <w:bCs/>
          <w:sz w:val="24"/>
          <w:szCs w:val="24"/>
        </w:rPr>
        <w:t>★</w:t>
      </w:r>
      <w:bookmarkEnd w:id="0"/>
      <w:r>
        <w:rPr>
          <w:rFonts w:hint="eastAsia" w:ascii="宋体" w:hAnsi="宋体" w:cs="宋体"/>
          <w:b/>
          <w:bCs/>
          <w:sz w:val="24"/>
          <w:szCs w:val="24"/>
        </w:rPr>
        <w:t>”号条款为实质性条款，不得出现负偏离，发生负偏离即做无效投标处理。负偏离是指投标人所提交投标文件的内容低于或经评标委员会认定不满足招标文件的情形。</w:t>
      </w:r>
    </w:p>
    <w:p w14:paraId="65FF15E5">
      <w:pPr>
        <w:pStyle w:val="3"/>
        <w:rPr>
          <w:rFonts w:ascii="宋体" w:hAnsi="宋体"/>
          <w:sz w:val="24"/>
          <w:szCs w:val="24"/>
        </w:rPr>
      </w:pPr>
    </w:p>
    <w:p w14:paraId="4CF7D272">
      <w:pPr>
        <w:pStyle w:val="11"/>
        <w:spacing w:line="360" w:lineRule="auto"/>
        <w:ind w:firstLine="480" w:firstLineChars="200"/>
        <w:rPr>
          <w:rFonts w:ascii="宋体" w:hAnsi="宋体" w:eastAsia="宋体" w:cs="宋体"/>
          <w:color w:val="auto"/>
        </w:rPr>
      </w:pPr>
    </w:p>
    <w:p w14:paraId="0AFC6A72">
      <w:pPr>
        <w:rPr>
          <w:rFonts w:ascii="宋体" w:hAnsi="宋体"/>
          <w:sz w:val="24"/>
          <w:szCs w:val="24"/>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New Roman (正文 CS 字体)">
    <w:altName w:val="宋体"/>
    <w:panose1 w:val="02020603050405020304"/>
    <w:charset w:val="00"/>
    <w:family w:val="roman"/>
    <w:pitch w:val="default"/>
    <w:sig w:usb0="00000000" w:usb1="00000000" w:usb2="00000009" w:usb3="00000000" w:csb0="000001FF" w:csb1="00000000"/>
  </w:font>
  <w:font w:name=".......">
    <w:altName w:val="宋体"/>
    <w:panose1 w:val="020B0604020202020204"/>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8E7"/>
    <w:rsid w:val="00020C90"/>
    <w:rsid w:val="00042856"/>
    <w:rsid w:val="00060925"/>
    <w:rsid w:val="00186C98"/>
    <w:rsid w:val="00192137"/>
    <w:rsid w:val="0030154F"/>
    <w:rsid w:val="0030540F"/>
    <w:rsid w:val="00324CBF"/>
    <w:rsid w:val="00335695"/>
    <w:rsid w:val="003A29E2"/>
    <w:rsid w:val="003C12CD"/>
    <w:rsid w:val="00433BE5"/>
    <w:rsid w:val="004A46EF"/>
    <w:rsid w:val="00646944"/>
    <w:rsid w:val="006D0A3C"/>
    <w:rsid w:val="006E6F45"/>
    <w:rsid w:val="00705B67"/>
    <w:rsid w:val="007A3958"/>
    <w:rsid w:val="007A4FDD"/>
    <w:rsid w:val="007A76C8"/>
    <w:rsid w:val="007E4FC5"/>
    <w:rsid w:val="008568E7"/>
    <w:rsid w:val="008614E3"/>
    <w:rsid w:val="008A1E9D"/>
    <w:rsid w:val="008D4C43"/>
    <w:rsid w:val="00A37082"/>
    <w:rsid w:val="00A703B8"/>
    <w:rsid w:val="00A72A25"/>
    <w:rsid w:val="00AC5F73"/>
    <w:rsid w:val="00B447FA"/>
    <w:rsid w:val="00B52783"/>
    <w:rsid w:val="00C64C18"/>
    <w:rsid w:val="00D012DC"/>
    <w:rsid w:val="00D226C9"/>
    <w:rsid w:val="00DF2B7A"/>
    <w:rsid w:val="00E05EC9"/>
    <w:rsid w:val="00E47EDB"/>
    <w:rsid w:val="00E61D95"/>
    <w:rsid w:val="00E7699D"/>
    <w:rsid w:val="00EB799B"/>
    <w:rsid w:val="00F40C41"/>
    <w:rsid w:val="00F8747D"/>
    <w:rsid w:val="00FF4637"/>
    <w:rsid w:val="2C2F7B89"/>
    <w:rsid w:val="42FF4540"/>
    <w:rsid w:val="67E94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uiPriority w:val="99"/>
    <w:pPr>
      <w:spacing w:after="120"/>
    </w:pPr>
  </w:style>
  <w:style w:type="paragraph" w:styleId="4">
    <w:name w:val="toc 9"/>
    <w:basedOn w:val="1"/>
    <w:next w:val="1"/>
    <w:autoRedefine/>
    <w:semiHidden/>
    <w:unhideWhenUsed/>
    <w:uiPriority w:val="39"/>
    <w:pPr>
      <w:ind w:left="3360" w:leftChars="1600"/>
    </w:pPr>
  </w:style>
  <w:style w:type="paragraph" w:styleId="5">
    <w:name w:val="Normal (Web)"/>
    <w:basedOn w:val="1"/>
    <w:uiPriority w:val="99"/>
    <w:rPr>
      <w:sz w:val="24"/>
    </w:rPr>
  </w:style>
  <w:style w:type="paragraph" w:customStyle="1" w:styleId="8">
    <w:name w:val="sh-正文"/>
    <w:basedOn w:val="1"/>
    <w:autoRedefine/>
    <w:qFormat/>
    <w:uiPriority w:val="0"/>
    <w:pPr>
      <w:jc w:val="center"/>
    </w:pPr>
    <w:rPr>
      <w:rFonts w:cs="Times New Roman (正文 CS 字体)" w:asciiTheme="minorHAnsi" w:hAnsiTheme="minorHAnsi"/>
      <w:sz w:val="28"/>
      <w:szCs w:val="22"/>
    </w:rPr>
  </w:style>
  <w:style w:type="character" w:customStyle="1" w:styleId="9">
    <w:name w:val="标题 1 字符"/>
    <w:basedOn w:val="7"/>
    <w:link w:val="2"/>
    <w:uiPriority w:val="0"/>
    <w:rPr>
      <w:rFonts w:ascii="Times New Roman" w:hAnsi="Times New Roman" w:eastAsia="宋体" w:cs="Times New Roman"/>
      <w:b/>
      <w:bCs/>
      <w:kern w:val="44"/>
      <w:sz w:val="44"/>
      <w:szCs w:val="44"/>
    </w:rPr>
  </w:style>
  <w:style w:type="character" w:customStyle="1" w:styleId="10">
    <w:name w:val="正文文本 字符"/>
    <w:basedOn w:val="7"/>
    <w:link w:val="3"/>
    <w:semiHidden/>
    <w:uiPriority w:val="99"/>
    <w:rPr>
      <w:rFonts w:ascii="Times New Roman" w:hAnsi="Times New Roman" w:eastAsia="宋体" w:cs="Times New Roman"/>
      <w:szCs w:val="20"/>
    </w:rPr>
  </w:style>
  <w:style w:type="paragraph" w:customStyle="1" w:styleId="11">
    <w:name w:val="Default"/>
    <w:next w:val="4"/>
    <w:link w:val="12"/>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12">
    <w:name w:val="Default Char"/>
    <w:link w:val="11"/>
    <w:qFormat/>
    <w:locked/>
    <w:uiPriority w:val="0"/>
    <w:rPr>
      <w:rFonts w:ascii="......." w:hAnsi="Calibri" w:eastAsia="......." w:cs="......."/>
      <w:color w:val="000000"/>
      <w:kern w:val="0"/>
      <w:sz w:val="24"/>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995</Words>
  <Characters>1017</Characters>
  <Lines>9</Lines>
  <Paragraphs>2</Paragraphs>
  <TotalTime>0</TotalTime>
  <ScaleCrop>false</ScaleCrop>
  <LinksUpToDate>false</LinksUpToDate>
  <CharactersWithSpaces>1017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2025-07-14T01:09:00Z</dcterms:created>
  <dc:creator>Microsoft Office User</dc:creator>
  <cp:lastModifiedBy>张维</cp:lastModifiedBy>
  <dcterms:modified xsi:type="dcterms:W3CDTF">2025-07-17T01:05:06Z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eyJoZGlkIjoiZGI1NDRmNTEyZGIzODY1Y2U3NzM1OGMxMWVmMDg5NDciLCJ1c2VySWQiOiIxNjkyMjgyOTIzIn0=</vt:lpwstr>
  </property>
  <property fmtid="{D5CDD505-2E9C-101B-9397-08002B2CF9AE}" pid="3" name="KSOProductBuildVer">
    <vt:lpwstr>2052-12.1.0.21541</vt:lpwstr>
  </property>
  <property fmtid="{D5CDD505-2E9C-101B-9397-08002B2CF9AE}" pid="4" name="ICV">
    <vt:lpwstr>C327415830E3484BAD2EFA9DDB8F9B1E_12</vt:lpwstr>
  </property>
</Properties>
</file>