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237B6">
      <w:pPr>
        <w:pStyle w:val="4"/>
        <w:jc w:val="center"/>
        <w:rPr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项目需求</w:t>
      </w:r>
    </w:p>
    <w:p w14:paraId="61E6C485">
      <w:pPr>
        <w:pStyle w:val="7"/>
        <w:numPr>
          <w:ilvl w:val="0"/>
          <w:numId w:val="0"/>
        </w:numPr>
        <w:snapToGrid w:val="0"/>
        <w:spacing w:line="360" w:lineRule="auto"/>
        <w:ind w:left="480" w:leftChars="0"/>
        <w:rPr>
          <w:rFonts w:ascii="等线 Light" w:hAnsi="等线 Light" w:eastAsia="等线 Light" w:cs="黑体"/>
          <w:b/>
          <w:bCs/>
          <w:color w:val="auto"/>
          <w:kern w:val="2"/>
          <w:sz w:val="28"/>
          <w:szCs w:val="28"/>
        </w:rPr>
      </w:pPr>
      <w:r>
        <w:rPr>
          <w:rFonts w:hint="eastAsia" w:ascii="等线 Light" w:hAnsi="等线 Light" w:eastAsia="等线 Light" w:cs="黑体"/>
          <w:b/>
          <w:bCs/>
          <w:color w:val="auto"/>
          <w:kern w:val="2"/>
          <w:sz w:val="28"/>
          <w:szCs w:val="28"/>
          <w:lang w:val="en-US" w:eastAsia="zh-CN"/>
        </w:rPr>
        <w:t>一、需求</w:t>
      </w:r>
      <w:r>
        <w:rPr>
          <w:rFonts w:hint="eastAsia" w:ascii="等线 Light" w:hAnsi="等线 Light" w:eastAsia="等线 Light" w:cs="黑体"/>
          <w:b/>
          <w:bCs/>
          <w:color w:val="auto"/>
          <w:kern w:val="2"/>
          <w:sz w:val="28"/>
          <w:szCs w:val="28"/>
        </w:rPr>
        <w:t>参数</w:t>
      </w:r>
    </w:p>
    <w:tbl>
      <w:tblPr>
        <w:tblStyle w:val="5"/>
        <w:tblpPr w:leftFromText="180" w:rightFromText="180" w:vertAnchor="text" w:horzAnchor="page" w:tblpX="2628" w:tblpY="608"/>
        <w:tblOverlap w:val="never"/>
        <w:tblW w:w="7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33"/>
        <w:gridCol w:w="3904"/>
        <w:gridCol w:w="709"/>
      </w:tblGrid>
      <w:tr w14:paraId="2769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1107ECE7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333" w:type="dxa"/>
            <w:noWrap w:val="0"/>
            <w:vAlign w:val="top"/>
          </w:tcPr>
          <w:p w14:paraId="5CBFBBD8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需求及参数名称</w:t>
            </w:r>
          </w:p>
        </w:tc>
        <w:tc>
          <w:tcPr>
            <w:tcW w:w="3904" w:type="dxa"/>
            <w:noWrap w:val="0"/>
            <w:vAlign w:val="top"/>
          </w:tcPr>
          <w:p w14:paraId="36CD64FB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具体要求</w:t>
            </w:r>
          </w:p>
        </w:tc>
        <w:tc>
          <w:tcPr>
            <w:tcW w:w="709" w:type="dxa"/>
            <w:noWrap w:val="0"/>
            <w:vAlign w:val="top"/>
          </w:tcPr>
          <w:p w14:paraId="247AE47E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备注</w:t>
            </w:r>
          </w:p>
        </w:tc>
      </w:tr>
      <w:tr w14:paraId="7886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74B5C435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3" w:type="dxa"/>
            <w:noWrap w:val="0"/>
            <w:vAlign w:val="top"/>
          </w:tcPr>
          <w:p w14:paraId="6A786965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基本要求</w:t>
            </w:r>
          </w:p>
        </w:tc>
        <w:tc>
          <w:tcPr>
            <w:tcW w:w="3904" w:type="dxa"/>
            <w:noWrap w:val="0"/>
            <w:vAlign w:val="top"/>
          </w:tcPr>
          <w:p w14:paraId="78B52F4F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终端防病毒及服务器防病毒维保服务</w:t>
            </w:r>
          </w:p>
        </w:tc>
        <w:tc>
          <w:tcPr>
            <w:tcW w:w="709" w:type="dxa"/>
            <w:noWrap w:val="0"/>
            <w:vAlign w:val="top"/>
          </w:tcPr>
          <w:p w14:paraId="2E5E60B4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6849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0530CAC4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33" w:type="dxa"/>
            <w:noWrap w:val="0"/>
            <w:vAlign w:val="top"/>
          </w:tcPr>
          <w:p w14:paraId="0399CA93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服务地点</w:t>
            </w:r>
          </w:p>
        </w:tc>
        <w:tc>
          <w:tcPr>
            <w:tcW w:w="3904" w:type="dxa"/>
            <w:noWrap w:val="0"/>
            <w:vAlign w:val="top"/>
          </w:tcPr>
          <w:p w14:paraId="0D8AB9EF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天津医科大学第二医院</w:t>
            </w:r>
          </w:p>
        </w:tc>
        <w:tc>
          <w:tcPr>
            <w:tcW w:w="709" w:type="dxa"/>
            <w:noWrap w:val="0"/>
            <w:vAlign w:val="top"/>
          </w:tcPr>
          <w:p w14:paraId="40ED7D59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4DA7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4BA8B761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33" w:type="dxa"/>
            <w:noWrap w:val="0"/>
            <w:vAlign w:val="top"/>
          </w:tcPr>
          <w:p w14:paraId="1F95B190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服务范围</w:t>
            </w:r>
          </w:p>
        </w:tc>
        <w:tc>
          <w:tcPr>
            <w:tcW w:w="3904" w:type="dxa"/>
            <w:noWrap w:val="0"/>
            <w:vAlign w:val="top"/>
          </w:tcPr>
          <w:p w14:paraId="579D2C54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终端防病毒及服务器防病毒维保服务</w:t>
            </w:r>
          </w:p>
        </w:tc>
        <w:tc>
          <w:tcPr>
            <w:tcW w:w="709" w:type="dxa"/>
            <w:noWrap w:val="0"/>
            <w:vAlign w:val="top"/>
          </w:tcPr>
          <w:p w14:paraId="17E790CC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5DF3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071F3CE5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33" w:type="dxa"/>
            <w:noWrap w:val="0"/>
            <w:vAlign w:val="top"/>
          </w:tcPr>
          <w:p w14:paraId="023E02E5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服务内容涉及</w:t>
            </w:r>
          </w:p>
        </w:tc>
        <w:tc>
          <w:tcPr>
            <w:tcW w:w="3904" w:type="dxa"/>
            <w:noWrap w:val="0"/>
            <w:vAlign w:val="top"/>
          </w:tcPr>
          <w:p w14:paraId="3C512B7E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1300台终端防病毒系统维保</w:t>
            </w:r>
          </w:p>
          <w:p w14:paraId="769DF5E2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200台服务器防病毒系统维保</w:t>
            </w:r>
          </w:p>
        </w:tc>
        <w:tc>
          <w:tcPr>
            <w:tcW w:w="709" w:type="dxa"/>
            <w:noWrap w:val="0"/>
            <w:vAlign w:val="top"/>
          </w:tcPr>
          <w:p w14:paraId="496AA553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0563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2B8E410C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33" w:type="dxa"/>
            <w:noWrap w:val="0"/>
            <w:vAlign w:val="top"/>
          </w:tcPr>
          <w:p w14:paraId="2711C234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维护期</w:t>
            </w:r>
          </w:p>
        </w:tc>
        <w:tc>
          <w:tcPr>
            <w:tcW w:w="3904" w:type="dxa"/>
            <w:noWrap w:val="0"/>
            <w:vAlign w:val="top"/>
          </w:tcPr>
          <w:p w14:paraId="3D82930D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服务周期为合同签订后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</w:t>
            </w:r>
          </w:p>
        </w:tc>
        <w:tc>
          <w:tcPr>
            <w:tcW w:w="709" w:type="dxa"/>
            <w:noWrap w:val="0"/>
            <w:vAlign w:val="top"/>
          </w:tcPr>
          <w:p w14:paraId="3BC0BD1F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12CF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5731FACC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33" w:type="dxa"/>
            <w:noWrap w:val="0"/>
            <w:vAlign w:val="top"/>
          </w:tcPr>
          <w:p w14:paraId="3D727D0A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付款周期</w:t>
            </w:r>
          </w:p>
        </w:tc>
        <w:tc>
          <w:tcPr>
            <w:tcW w:w="3904" w:type="dxa"/>
            <w:noWrap w:val="0"/>
            <w:vAlign w:val="top"/>
          </w:tcPr>
          <w:p w14:paraId="0F941EF7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签订合同后的10个工作日内支付合同总额的100%</w:t>
            </w:r>
          </w:p>
        </w:tc>
        <w:tc>
          <w:tcPr>
            <w:tcW w:w="709" w:type="dxa"/>
            <w:noWrap w:val="0"/>
            <w:vAlign w:val="top"/>
          </w:tcPr>
          <w:p w14:paraId="4E0DF43F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27B0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noWrap w:val="0"/>
            <w:vAlign w:val="top"/>
          </w:tcPr>
          <w:p w14:paraId="7BDF27DA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33" w:type="dxa"/>
            <w:noWrap w:val="0"/>
            <w:vAlign w:val="top"/>
          </w:tcPr>
          <w:p w14:paraId="78BE6300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实际性要求</w:t>
            </w:r>
          </w:p>
        </w:tc>
        <w:tc>
          <w:tcPr>
            <w:tcW w:w="3904" w:type="dxa"/>
            <w:noWrap w:val="0"/>
            <w:vAlign w:val="top"/>
          </w:tcPr>
          <w:p w14:paraId="2110191B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sym w:font="Wingdings 2" w:char="F0EA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具有独立承担民事责任的能力</w:t>
            </w:r>
          </w:p>
        </w:tc>
        <w:tc>
          <w:tcPr>
            <w:tcW w:w="709" w:type="dxa"/>
            <w:noWrap w:val="0"/>
            <w:vAlign w:val="top"/>
          </w:tcPr>
          <w:p w14:paraId="070A5DDA">
            <w:pPr>
              <w:pStyle w:val="7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14:paraId="0ADDED8C"/>
    <w:p w14:paraId="27487F93"/>
    <w:p w14:paraId="67965DD6"/>
    <w:p w14:paraId="7809F90B"/>
    <w:p w14:paraId="2008205F"/>
    <w:p w14:paraId="7A84DF26"/>
    <w:p w14:paraId="226918C5"/>
    <w:p w14:paraId="2576FA35"/>
    <w:p w14:paraId="092CCBDF"/>
    <w:p w14:paraId="67621522"/>
    <w:p w14:paraId="592283E2"/>
    <w:p w14:paraId="7D97F9B3"/>
    <w:p w14:paraId="5B7E598B">
      <w:pPr>
        <w:pStyle w:val="7"/>
        <w:numPr>
          <w:ilvl w:val="0"/>
          <w:numId w:val="1"/>
        </w:numPr>
        <w:snapToGrid w:val="0"/>
        <w:spacing w:line="360" w:lineRule="auto"/>
        <w:ind w:left="480" w:leftChars="0"/>
        <w:rPr>
          <w:rFonts w:hint="eastAsia" w:ascii="等线 Light" w:hAnsi="等线 Light" w:eastAsia="等线 Light" w:cs="黑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黑体"/>
          <w:b/>
          <w:bCs/>
          <w:color w:val="auto"/>
          <w:kern w:val="2"/>
          <w:sz w:val="28"/>
          <w:szCs w:val="28"/>
          <w:lang w:val="en-US" w:eastAsia="zh-CN"/>
        </w:rPr>
        <w:t>服务范围：</w:t>
      </w:r>
    </w:p>
    <w:p w14:paraId="4AAB3BE8">
      <w:pPr>
        <w:pStyle w:val="7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涵盖天津医科大学第二医院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/>
        </w:rPr>
        <w:t>1300台终端和200台服务器防病毒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软件系统，主要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包括：</w:t>
      </w:r>
    </w:p>
    <w:p w14:paraId="0A31E320">
      <w:pPr>
        <w:widowControl/>
        <w:numPr>
          <w:ilvl w:val="0"/>
          <w:numId w:val="2"/>
        </w:numPr>
        <w:ind w:left="420" w:left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本地查杀和云查杀功能</w:t>
      </w:r>
    </w:p>
    <w:p w14:paraId="794E2481">
      <w:pPr>
        <w:widowControl/>
        <w:numPr>
          <w:ilvl w:val="0"/>
          <w:numId w:val="2"/>
        </w:numPr>
        <w:ind w:left="420" w:left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可疑文件静态分析和动态分析功能</w:t>
      </w:r>
    </w:p>
    <w:p w14:paraId="14FC8A85">
      <w:pPr>
        <w:widowControl/>
        <w:numPr>
          <w:ilvl w:val="0"/>
          <w:numId w:val="2"/>
        </w:numPr>
        <w:ind w:left="420" w:left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可疑文件处置功能</w:t>
      </w:r>
    </w:p>
    <w:p w14:paraId="0DED30A7">
      <w:pPr>
        <w:widowControl/>
        <w:numPr>
          <w:ilvl w:val="0"/>
          <w:numId w:val="2"/>
        </w:numPr>
        <w:ind w:left="420" w:left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勒索防护功能</w:t>
      </w:r>
    </w:p>
    <w:p w14:paraId="3479CA3A">
      <w:pPr>
        <w:widowControl/>
        <w:numPr>
          <w:ilvl w:val="0"/>
          <w:numId w:val="2"/>
        </w:numPr>
        <w:ind w:left="420" w:left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扫描模式灵活设置功能</w:t>
      </w:r>
    </w:p>
    <w:p w14:paraId="3BBE1CF1">
      <w:pPr>
        <w:widowControl/>
        <w:numPr>
          <w:ilvl w:val="0"/>
          <w:numId w:val="2"/>
        </w:numPr>
        <w:ind w:left="420" w:left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Web信誉检测功能</w:t>
      </w:r>
    </w:p>
    <w:p w14:paraId="35F03EDE">
      <w:pPr>
        <w:widowControl/>
        <w:numPr>
          <w:ilvl w:val="0"/>
          <w:numId w:val="2"/>
        </w:numPr>
        <w:ind w:left="420" w:left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无文件攻击防护功能</w:t>
      </w:r>
    </w:p>
    <w:p w14:paraId="0F6419E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70120B5">
      <w:pPr>
        <w:pStyle w:val="7"/>
        <w:numPr>
          <w:ilvl w:val="0"/>
          <w:numId w:val="1"/>
        </w:numPr>
        <w:snapToGrid w:val="0"/>
        <w:spacing w:line="360" w:lineRule="auto"/>
        <w:ind w:left="480" w:leftChars="0"/>
        <w:rPr>
          <w:rFonts w:hint="eastAsia" w:ascii="等线 Light" w:hAnsi="等线 Light" w:eastAsia="等线 Light" w:cs="黑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黑体"/>
          <w:b/>
          <w:bCs/>
          <w:color w:val="auto"/>
          <w:kern w:val="2"/>
          <w:sz w:val="28"/>
          <w:szCs w:val="28"/>
          <w:lang w:val="en-US" w:eastAsia="zh-CN"/>
        </w:rPr>
        <w:t>服务内容：</w:t>
      </w:r>
    </w:p>
    <w:p w14:paraId="1B962EA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（1）供应商在规定时间内完成医院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终端和服务器防病毒系统维保服务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等，并且保证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终端和服务器防病毒系统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的安全稳定运行。</w:t>
      </w:r>
    </w:p>
    <w:p w14:paraId="141259E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（2）供应商安排专业技术负责人负责与医院协调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终端和服务器防病毒系统维保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相关事宜，发现问题及时处理，技术热线：Tel:；电话技术支持的时间在星期一至星期五，上午8:30至下午20:30（节假日除外）、远程技术支持的时间在星期一至星期日，7×24小时。工作日内，电话响应时间不超过1小时；现场提供技术服务时间由甲乙双方共同协商。</w:t>
      </w:r>
    </w:p>
    <w:p w14:paraId="0FD2F26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（3）培训服务：针对服务期间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的功能提供培训服务，供应商承诺对医院专职人员进行培训，使其能很好的掌握系统的功能。</w:t>
      </w:r>
    </w:p>
    <w:p w14:paraId="435437B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（4）巡检服务：供应商安排专业技术人员进行每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季度一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巡检服务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系统运行状态、配置策略、软件版本、问题故障进行检查和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解决。</w:t>
      </w:r>
    </w:p>
    <w:p w14:paraId="715D67A1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（5）紧急情况处理：遇到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防病毒系统影响医院终端或业务系统正常使用和运行等情况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，公司在收到甲方有效通知时起，务必安排有经验的工程师第一时间响应，必要时第一时间快速赶到现场，协助甲方信息工作人员紧急处理情况。</w:t>
      </w:r>
    </w:p>
    <w:p w14:paraId="7FE89900">
      <w:pPr>
        <w:pStyle w:val="7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（6）升级服务：维护期内供应商负责免费为医院提供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/>
        </w:rPr>
        <w:t>防病毒系统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  <w:t>版本升级；免费升级不包含医院所提出的新增功能模块需求，如在维护期内确有新功能模块需求可与供应商协商后另行签订协议。如有新需求按照双方协商后进行收费。</w:t>
      </w:r>
    </w:p>
    <w:p w14:paraId="5F1D60E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</w:rPr>
      </w:pP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注：请参加此次方案</w:t>
      </w:r>
      <w:bookmarkStart w:id="0" w:name="_GoBack"/>
      <w:bookmarkEnd w:id="0"/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调研的厂商提交服务方案及相关服务案例。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.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E120C"/>
    <w:multiLevelType w:val="singleLevel"/>
    <w:tmpl w:val="D27E120C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">
    <w:nsid w:val="68483461"/>
    <w:multiLevelType w:val="singleLevel"/>
    <w:tmpl w:val="684834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C636C"/>
    <w:rsid w:val="067F1777"/>
    <w:rsid w:val="193C636C"/>
    <w:rsid w:val="1FB812A8"/>
    <w:rsid w:val="1FF61A50"/>
    <w:rsid w:val="447A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845</Characters>
  <Lines>0</Lines>
  <Paragraphs>0</Paragraphs>
  <TotalTime>0</TotalTime>
  <ScaleCrop>false</ScaleCrop>
  <LinksUpToDate>false</LinksUpToDate>
  <CharactersWithSpaces>845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2025-07-29T07:15:00Z</dcterms:created>
  <dc:creator>张维</dc:creator>
  <cp:lastModifiedBy>张维</cp:lastModifiedBy>
  <dcterms:modified xsi:type="dcterms:W3CDTF">2025-07-29T07:26:07Z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4F30E06EA9334B58933EAD2D25FAB1A5_11</vt:lpwstr>
  </property>
  <property fmtid="{D5CDD505-2E9C-101B-9397-08002B2CF9AE}" pid="4" name="KSOTemplateDocerSaveRecord">
    <vt:lpwstr>eyJoZGlkIjoiZGI1NDRmNTEyZGIzODY1Y2U3NzM1OGMxMWVmMDg5NDciLCJ1c2VySWQiOiIxNjkyMjgyOTIzIn0=</vt:lpwstr>
  </property>
</Properties>
</file>