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693828B">
      <w:pPr>
        <w:pStyle w:val="style1"/>
        <w:rPr>
          <w:rFonts w:ascii="宋体" w:cs="宋体" w:eastAsia="宋体" w:hAnsi="宋体" w:hint="default"/>
          <w:szCs w:val="28"/>
          <w:lang w:val="en-US" w:eastAsia="zh-CN"/>
        </w:rPr>
      </w:pPr>
      <w:r>
        <w:rPr>
          <w:rFonts w:ascii="宋体" w:cs="宋体" w:hAnsi="宋体" w:hint="eastAsia"/>
          <w:szCs w:val="28"/>
        </w:rPr>
        <w:t>核医学系统维保</w:t>
      </w:r>
      <w:r>
        <w:rPr>
          <w:rFonts w:ascii="宋体" w:cs="宋体" w:hAnsi="宋体" w:hint="eastAsia"/>
          <w:szCs w:val="28"/>
          <w:lang w:val="en-US" w:eastAsia="zh-CN"/>
        </w:rPr>
        <w:t>技术要求</w:t>
      </w:r>
    </w:p>
    <w:p w14:paraId="32149277">
      <w:pPr>
        <w:pStyle w:val="style0"/>
        <w:rPr>
          <w:rFonts w:ascii="宋体" w:cs="宋体" w:eastAsia="宋体" w:hAnsi="宋体" w:hint="eastAsia"/>
          <w:b/>
          <w:bCs/>
          <w:snapToGrid w:val="false"/>
          <w:kern w:val="0"/>
          <w:sz w:val="24"/>
          <w:szCs w:val="24"/>
          <w:lang w:val="en-US" w:eastAsia="zh-CN"/>
        </w:rPr>
      </w:pPr>
    </w:p>
    <w:p w14:paraId="6BBCABB5">
      <w:pPr>
        <w:pStyle w:val="style0"/>
        <w:rPr>
          <w:rFonts w:ascii="宋体" w:cs="宋体" w:eastAsia="宋体" w:hAnsi="宋体" w:hint="eastAsia"/>
          <w:b/>
          <w:bCs/>
          <w:snapToGrid w:val="false"/>
          <w:kern w:val="0"/>
          <w:sz w:val="24"/>
          <w:szCs w:val="24"/>
        </w:rPr>
      </w:pPr>
      <w:r>
        <w:rPr>
          <w:rFonts w:ascii="宋体" w:cs="宋体" w:eastAsia="宋体" w:hAnsi="宋体" w:hint="eastAsia"/>
          <w:b/>
          <w:bCs/>
          <w:snapToGrid w:val="false"/>
          <w:kern w:val="0"/>
          <w:sz w:val="24"/>
          <w:szCs w:val="24"/>
          <w:lang w:val="en-US" w:eastAsia="zh-CN"/>
        </w:rPr>
        <w:t>一、</w:t>
      </w:r>
      <w:r>
        <w:rPr>
          <w:rFonts w:ascii="宋体" w:cs="宋体" w:eastAsia="宋体" w:hAnsi="宋体" w:hint="eastAsia"/>
          <w:b/>
          <w:bCs/>
          <w:snapToGrid w:val="false"/>
          <w:kern w:val="0"/>
          <w:sz w:val="24"/>
          <w:szCs w:val="24"/>
        </w:rPr>
        <w:t>资质要求</w:t>
      </w:r>
    </w:p>
    <w:p w14:paraId="04307F5C">
      <w:pPr>
        <w:pStyle w:val="style0"/>
        <w:numPr>
          <w:ilvl w:val="0"/>
          <w:numId w:val="1"/>
        </w:numPr>
        <w:bidi w:val="false"/>
        <w:rPr>
          <w:rFonts w:ascii="宋体" w:cs="宋体" w:eastAsia="宋体" w:hAnsi="宋体" w:hint="eastAsia"/>
          <w:sz w:val="24"/>
          <w:szCs w:val="24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营业执照</w:t>
      </w:r>
    </w:p>
    <w:p w14:paraId="125CF3C6">
      <w:pPr>
        <w:pStyle w:val="style0"/>
        <w:rPr>
          <w:rFonts w:ascii="宋体" w:cs="宋体" w:eastAsia="宋体" w:hAnsi="宋体" w:hint="eastAsia"/>
          <w:b/>
          <w:bCs/>
          <w:snapToGrid w:val="false"/>
          <w:kern w:val="0"/>
          <w:sz w:val="24"/>
          <w:szCs w:val="24"/>
          <w:lang w:val="en-US" w:eastAsia="zh-CN"/>
        </w:rPr>
      </w:pPr>
    </w:p>
    <w:p w14:paraId="5DA7A4B7">
      <w:pPr>
        <w:pStyle w:val="style0"/>
        <w:rPr>
          <w:rFonts w:ascii="宋体" w:cs="宋体" w:eastAsia="宋体" w:hAnsi="宋体" w:hint="eastAsia"/>
          <w:b/>
          <w:bCs/>
          <w:snapToGrid w:val="false"/>
          <w:kern w:val="0"/>
          <w:sz w:val="24"/>
          <w:szCs w:val="24"/>
        </w:rPr>
      </w:pPr>
      <w:r>
        <w:rPr>
          <w:rFonts w:ascii="宋体" w:cs="宋体" w:eastAsia="宋体" w:hAnsi="宋体" w:hint="eastAsia"/>
          <w:b/>
          <w:bCs/>
          <w:snapToGrid w:val="false"/>
          <w:kern w:val="0"/>
          <w:sz w:val="24"/>
          <w:szCs w:val="24"/>
          <w:lang w:val="en-US" w:eastAsia="zh-CN"/>
        </w:rPr>
        <w:t>二、</w:t>
      </w:r>
      <w:r>
        <w:rPr>
          <w:rFonts w:ascii="宋体" w:cs="宋体" w:eastAsia="宋体" w:hAnsi="宋体" w:hint="eastAsia"/>
          <w:b/>
          <w:bCs/>
          <w:snapToGrid w:val="false"/>
          <w:kern w:val="0"/>
          <w:sz w:val="24"/>
          <w:szCs w:val="24"/>
        </w:rPr>
        <w:t>商务要求</w:t>
      </w:r>
    </w:p>
    <w:p w14:paraId="0794A179">
      <w:pPr>
        <w:pStyle w:val="style66"/>
        <w:rPr>
          <w:rFonts w:ascii="宋体" w:cs="宋体" w:eastAsia="宋体" w:hAnsi="宋体" w:hint="eastAsia"/>
          <w:kern w:val="2"/>
          <w:sz w:val="24"/>
          <w:szCs w:val="24"/>
          <w:lang w:val="en-US" w:bidi="ar-SA" w:eastAsia="zh-CN"/>
        </w:rPr>
      </w:pPr>
      <w:r>
        <w:rPr>
          <w:rFonts w:ascii="宋体" w:cs="宋体" w:hAnsi="宋体" w:hint="eastAsia"/>
          <w:kern w:val="2"/>
          <w:sz w:val="24"/>
          <w:szCs w:val="24"/>
          <w:lang w:val="en-US" w:bidi="ar-SA" w:eastAsia="zh-CN"/>
        </w:rPr>
        <w:t>1</w:t>
      </w:r>
      <w:r>
        <w:rPr>
          <w:rFonts w:ascii="宋体" w:cs="宋体" w:eastAsia="宋体" w:hAnsi="宋体" w:hint="eastAsia"/>
          <w:kern w:val="2"/>
          <w:sz w:val="24"/>
          <w:szCs w:val="24"/>
          <w:lang w:bidi="ar-SA"/>
        </w:rPr>
        <w:t>）</w:t>
      </w:r>
      <w:r>
        <w:rPr>
          <w:rFonts w:ascii="宋体" w:cs="宋体" w:eastAsia="宋体" w:hAnsi="宋体" w:hint="eastAsia"/>
          <w:kern w:val="2"/>
          <w:sz w:val="24"/>
          <w:szCs w:val="24"/>
          <w:lang w:val="en-US" w:bidi="ar-SA" w:eastAsia="zh-CN"/>
        </w:rPr>
        <w:t>★投标人须取得所维护产品原厂家出具的维护授权书；（提供经产品原厂商盖章的维护授权书原件）</w:t>
      </w:r>
    </w:p>
    <w:p w14:paraId="0D032D93">
      <w:pPr>
        <w:pStyle w:val="style0"/>
        <w:numPr>
          <w:ilvl w:val="0"/>
          <w:numId w:val="0"/>
        </w:numPr>
        <w:bidi w:val="false"/>
        <w:ind w:leftChars="0"/>
        <w:rPr>
          <w:rFonts w:ascii="宋体" w:cs="宋体" w:eastAsia="宋体" w:hAnsi="宋体" w:hint="eastAsia"/>
          <w:sz w:val="24"/>
          <w:szCs w:val="24"/>
        </w:rPr>
      </w:pPr>
    </w:p>
    <w:p w14:paraId="3301E183">
      <w:pPr>
        <w:pStyle w:val="style0"/>
        <w:numPr>
          <w:ilvl w:val="0"/>
          <w:numId w:val="0"/>
        </w:numPr>
        <w:rPr>
          <w:rFonts w:ascii="宋体" w:cs="宋体" w:hAnsi="宋体" w:hint="eastAsia"/>
          <w:szCs w:val="28"/>
        </w:rPr>
      </w:pPr>
      <w:r>
        <w:rPr>
          <w:rFonts w:ascii="宋体" w:cs="宋体" w:hAnsi="宋体" w:hint="eastAsia"/>
          <w:b/>
          <w:bCs/>
          <w:snapToGrid w:val="false"/>
          <w:kern w:val="0"/>
          <w:sz w:val="24"/>
          <w:szCs w:val="24"/>
          <w:lang w:val="en-US"/>
        </w:rPr>
        <w:t>三、</w:t>
      </w:r>
      <w:r>
        <w:rPr>
          <w:rFonts w:ascii="宋体" w:cs="宋体" w:eastAsia="宋体" w:hAnsi="宋体" w:hint="eastAsia"/>
          <w:b/>
          <w:bCs/>
          <w:snapToGrid w:val="false"/>
          <w:kern w:val="0"/>
          <w:sz w:val="24"/>
          <w:szCs w:val="24"/>
          <w:lang w:val="en-US" w:eastAsia="zh-CN"/>
        </w:rPr>
        <w:t>核医学信息管理系统维保服务要求</w:t>
      </w:r>
    </w:p>
    <w:p w14:paraId="21D3D5ED">
      <w:pPr>
        <w:pStyle w:val="style4097"/>
        <w:rPr/>
      </w:pPr>
    </w:p>
    <w:tbl>
      <w:tblPr>
        <w:tblStyle w:val="style154"/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8330"/>
      </w:tblGrid>
      <w:tr w14:paraId="061CA4DA">
        <w:trPr>
          <w:trHeight w:val="850" w:hRule="atLeast"/>
          <w:jc w:val="center"/>
        </w:trPr>
        <w:tc>
          <w:tcPr>
            <w:tcW w:w="1740" w:type="dxa"/>
            <w:tcBorders/>
            <w:vAlign w:val="center"/>
          </w:tcPr>
          <w:p w14:paraId="740404CE">
            <w:pPr>
              <w:pStyle w:val="style0"/>
              <w:jc w:val="center"/>
              <w:rPr>
                <w:rFonts w:ascii="宋体" w:cs="宋体" w:hAnsi="宋体"/>
                <w:b/>
                <w:bCs/>
              </w:rPr>
            </w:pPr>
            <w:r>
              <w:rPr>
                <w:rFonts w:ascii="宋体" w:cs="宋体" w:hAnsi="宋体" w:hint="eastAsia"/>
                <w:b/>
                <w:bCs/>
                <w:sz w:val="24"/>
                <w:szCs w:val="32"/>
              </w:rPr>
              <w:t>项目</w:t>
            </w:r>
          </w:p>
        </w:tc>
        <w:tc>
          <w:tcPr>
            <w:tcW w:w="8330" w:type="dxa"/>
            <w:tcBorders/>
            <w:vAlign w:val="center"/>
          </w:tcPr>
          <w:p w14:paraId="59394BC5">
            <w:pPr>
              <w:pStyle w:val="style0"/>
              <w:wordWrap w:val="false"/>
              <w:jc w:val="center"/>
              <w:rPr/>
            </w:pPr>
            <w:r>
              <w:rPr>
                <w:rFonts w:hint="eastAsia"/>
                <w:b/>
                <w:bCs/>
                <w:sz w:val="24"/>
                <w:szCs w:val="32"/>
              </w:rPr>
              <w:t>招标要求</w:t>
            </w:r>
          </w:p>
        </w:tc>
      </w:tr>
      <w:tr w14:paraId="5BD88511">
        <w:tblPrEx/>
        <w:trPr>
          <w:trHeight w:val="850" w:hRule="atLeast"/>
          <w:jc w:val="center"/>
        </w:trPr>
        <w:tc>
          <w:tcPr>
            <w:tcW w:w="1740" w:type="dxa"/>
            <w:tcBorders/>
            <w:vAlign w:val="center"/>
          </w:tcPr>
          <w:p w14:paraId="13ED0256">
            <w:pPr>
              <w:pStyle w:val="style0"/>
              <w:jc w:val="center"/>
              <w:rPr>
                <w:rFonts w:ascii="宋体" w:cs="宋体" w:hAnsi="宋体"/>
                <w:b/>
                <w:bCs/>
              </w:rPr>
            </w:pPr>
            <w:r>
              <w:rPr>
                <w:rFonts w:ascii="宋体" w:cs="宋体" w:hAnsi="宋体" w:hint="eastAsia"/>
                <w:b/>
                <w:bCs/>
              </w:rPr>
              <w:t>功能性维护</w:t>
            </w:r>
          </w:p>
        </w:tc>
        <w:tc>
          <w:tcPr>
            <w:tcW w:w="8330" w:type="dxa"/>
            <w:tcBorders/>
          </w:tcPr>
          <w:p w14:paraId="067F4722">
            <w:pPr>
              <w:pStyle w:val="style0"/>
              <w:wordWrap w:val="false"/>
              <w:jc w:val="left"/>
              <w:rPr/>
            </w:pPr>
            <w:r>
              <w:rPr>
                <w:rFonts w:ascii="宋体" w:cs="宋体" w:hAnsi="宋体" w:hint="eastAsia"/>
                <w:sz w:val="24"/>
              </w:rPr>
              <w:t>驻场服务：对核医学系统进行维护，维护内容包括服务器、诊断报告端及现有采集终端的软件维护。维护内容包括保软件系统的正常运行，数据传输、报告书写打印、查询及各个模块的管理维护以及按照科室的要求修改系统设置等。</w:t>
            </w:r>
          </w:p>
        </w:tc>
      </w:tr>
      <w:tr w14:paraId="0A538DB0">
        <w:tblPrEx/>
        <w:trPr>
          <w:trHeight w:val="850" w:hRule="atLeast"/>
          <w:jc w:val="center"/>
        </w:trPr>
        <w:tc>
          <w:tcPr>
            <w:tcW w:w="1740" w:type="dxa"/>
            <w:tcBorders/>
            <w:vAlign w:val="center"/>
          </w:tcPr>
          <w:p w14:paraId="1C75D357">
            <w:pPr>
              <w:pStyle w:val="style0"/>
              <w:jc w:val="center"/>
              <w:rPr>
                <w:rFonts w:ascii="宋体" w:cs="宋体" w:hAnsi="宋体"/>
                <w:b/>
                <w:bCs/>
              </w:rPr>
            </w:pPr>
            <w:r>
              <w:rPr>
                <w:rFonts w:ascii="宋体" w:cs="宋体" w:hAnsi="宋体" w:hint="eastAsia"/>
                <w:b/>
                <w:bCs/>
              </w:rPr>
              <w:t>功能性维护</w:t>
            </w:r>
          </w:p>
        </w:tc>
        <w:tc>
          <w:tcPr>
            <w:tcW w:w="8330" w:type="dxa"/>
            <w:tcBorders/>
          </w:tcPr>
          <w:p w14:paraId="6F39753D">
            <w:pPr>
              <w:pStyle w:val="style0"/>
              <w:wordWrap w:val="false"/>
              <w:jc w:val="left"/>
              <w:rPr>
                <w:szCs w:val="21"/>
              </w:rPr>
            </w:pPr>
            <w:r>
              <w:rPr>
                <w:rFonts w:ascii="宋体" w:cs="宋体" w:hAnsi="宋体"/>
                <w:sz w:val="24"/>
              </w:rPr>
              <w:t>咨询服务：为用户提供软件功能的应用咨询，帮助用户更好地理解和使用软件的各项功能。</w:t>
            </w:r>
          </w:p>
        </w:tc>
      </w:tr>
      <w:tr w14:paraId="66BA883B">
        <w:tblPrEx/>
        <w:trPr>
          <w:trHeight w:val="850" w:hRule="atLeast"/>
          <w:jc w:val="center"/>
        </w:trPr>
        <w:tc>
          <w:tcPr>
            <w:tcW w:w="1740" w:type="dxa"/>
            <w:tcBorders/>
            <w:vAlign w:val="center"/>
          </w:tcPr>
          <w:p w14:paraId="426F5B66">
            <w:pPr>
              <w:pStyle w:val="style0"/>
              <w:jc w:val="center"/>
              <w:rPr>
                <w:rFonts w:ascii="宋体" w:cs="宋体" w:hAnsi="宋体"/>
                <w:b/>
                <w:bCs/>
              </w:rPr>
            </w:pPr>
            <w:r>
              <w:rPr>
                <w:rFonts w:ascii="宋体" w:cs="宋体" w:hAnsi="宋体" w:hint="eastAsia"/>
                <w:b/>
                <w:bCs/>
              </w:rPr>
              <w:t>功能性维护</w:t>
            </w:r>
          </w:p>
        </w:tc>
        <w:tc>
          <w:tcPr>
            <w:tcW w:w="8330" w:type="dxa"/>
            <w:tcBorders/>
          </w:tcPr>
          <w:p w14:paraId="45123651">
            <w:pPr>
              <w:pStyle w:val="style0"/>
              <w:wordWrap w:val="false"/>
              <w:jc w:val="left"/>
              <w:rPr>
                <w:rFonts w:eastAsia="宋体"/>
              </w:rPr>
            </w:pPr>
            <w:r>
              <w:rPr>
                <w:rFonts w:ascii="宋体" w:cs="宋体" w:hAnsi="宋体"/>
                <w:sz w:val="24"/>
              </w:rPr>
              <w:t>故障排除：在软件应用过程中，如果出现功能故障，协助用户查找问题所在，并排除软件故障，确保系统的功能能够正常运行。</w:t>
            </w:r>
          </w:p>
        </w:tc>
      </w:tr>
      <w:tr w14:paraId="20C8829C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4546F3BC">
            <w:pPr>
              <w:pStyle w:val="style0"/>
              <w:jc w:val="center"/>
              <w:rPr/>
            </w:pPr>
            <w:r>
              <w:rPr>
                <w:rFonts w:ascii="宋体" w:cs="宋体" w:hAnsi="宋体" w:hint="eastAsia"/>
                <w:b/>
                <w:bCs/>
              </w:rPr>
              <w:t>功能性维护</w:t>
            </w:r>
          </w:p>
        </w:tc>
        <w:tc>
          <w:tcPr>
            <w:tcW w:w="8330" w:type="dxa"/>
            <w:tcBorders/>
          </w:tcPr>
          <w:p w14:paraId="4E013E86">
            <w:pPr>
              <w:pStyle w:val="style66"/>
              <w:spacing w:after="0"/>
              <w:rPr/>
            </w:pPr>
            <w:r>
              <w:rPr>
                <w:rFonts w:ascii="宋体" w:cs="宋体" w:hAnsi="宋体"/>
                <w:sz w:val="24"/>
              </w:rPr>
              <w:t>需求变更：对于已有应用模块范围内的功能需求，根据用户的需求进行调整和修改，以满足用户的实际需要。</w:t>
            </w:r>
          </w:p>
        </w:tc>
      </w:tr>
      <w:tr w14:paraId="46C95051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47474BAD">
            <w:pPr>
              <w:pStyle w:val="style0"/>
              <w:jc w:val="center"/>
              <w:rPr/>
            </w:pPr>
            <w:r>
              <w:rPr>
                <w:rFonts w:ascii="宋体" w:cs="宋体" w:hAnsi="宋体" w:hint="eastAsia"/>
                <w:b/>
                <w:bCs/>
              </w:rPr>
              <w:t>功能性维护</w:t>
            </w:r>
          </w:p>
        </w:tc>
        <w:tc>
          <w:tcPr>
            <w:tcW w:w="8330" w:type="dxa"/>
            <w:tcBorders/>
          </w:tcPr>
          <w:p w14:paraId="152EFDBF">
            <w:pPr>
              <w:pStyle w:val="style66"/>
              <w:spacing w:after="0"/>
              <w:rPr/>
            </w:pPr>
            <w:r>
              <w:rPr>
                <w:rFonts w:ascii="宋体" w:cs="宋体" w:hAnsi="宋体"/>
                <w:sz w:val="24"/>
              </w:rPr>
              <w:t>日常维护：协助医院建立日常维护记录，定期与医院系统管理人员共同检查系统运行情况，并形成系统维护记录制度和系统管理规范，以保证系统的稳定运行。</w:t>
            </w:r>
          </w:p>
        </w:tc>
      </w:tr>
      <w:tr w14:paraId="26689646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341B1BA7">
            <w:pPr>
              <w:pStyle w:val="style0"/>
              <w:jc w:val="center"/>
              <w:rPr/>
            </w:pPr>
            <w:r>
              <w:rPr>
                <w:rFonts w:ascii="宋体" w:cs="宋体" w:hAnsi="宋体" w:hint="eastAsia"/>
                <w:b/>
                <w:bCs/>
              </w:rPr>
              <w:t>功能性维护</w:t>
            </w:r>
          </w:p>
        </w:tc>
        <w:tc>
          <w:tcPr>
            <w:tcW w:w="8330" w:type="dxa"/>
            <w:tcBorders/>
          </w:tcPr>
          <w:p w14:paraId="0F00A28C">
            <w:pPr>
              <w:pStyle w:val="style66"/>
              <w:spacing w:after="0"/>
              <w:rPr/>
            </w:pPr>
            <w:r>
              <w:rPr>
                <w:rFonts w:ascii="宋体" w:cs="宋体" w:hAnsi="宋体"/>
                <w:sz w:val="24"/>
              </w:rPr>
              <w:t>应急服务：启动应急机制响应，保证在最快的时间内，协调安排相关人员到达现场解决相关应急情况。供应商向医院提供应急方案，并根据实际情况进行修复。</w:t>
            </w:r>
          </w:p>
        </w:tc>
      </w:tr>
      <w:tr w14:paraId="0D0F5AFF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1559C4DD">
            <w:pPr>
              <w:pStyle w:val="style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数据维护</w:t>
            </w:r>
          </w:p>
        </w:tc>
        <w:tc>
          <w:tcPr>
            <w:tcW w:w="8330" w:type="dxa"/>
            <w:tcBorders/>
          </w:tcPr>
          <w:p w14:paraId="2FE20610">
            <w:pPr>
              <w:pStyle w:val="style66"/>
              <w:spacing w:after="0"/>
              <w:rPr/>
            </w:pPr>
            <w:r>
              <w:rPr>
                <w:rFonts w:ascii="宋体" w:cs="宋体" w:hAnsi="宋体"/>
                <w:sz w:val="24"/>
              </w:rPr>
              <w:t>数据恢复：如果医院因操作不当或其他原因导致病历中数据丢失（包括但不限于患者的所有病历数据，如患者信息、检查所见及结论、病历数据等），协助医院系统维护人员恢复病历数据。</w:t>
            </w:r>
          </w:p>
        </w:tc>
      </w:tr>
      <w:tr w14:paraId="248FD560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2122B18B">
            <w:pPr>
              <w:pStyle w:val="style0"/>
              <w:jc w:val="center"/>
              <w:rPr/>
            </w:pPr>
            <w:r>
              <w:rPr>
                <w:rFonts w:hint="eastAsia"/>
                <w:b/>
                <w:bCs/>
              </w:rPr>
              <w:t>数据维护</w:t>
            </w:r>
          </w:p>
        </w:tc>
        <w:tc>
          <w:tcPr>
            <w:tcW w:w="8330" w:type="dxa"/>
            <w:tcBorders/>
          </w:tcPr>
          <w:p w14:paraId="4B01F138">
            <w:pPr>
              <w:pStyle w:val="style66"/>
              <w:spacing w:after="0"/>
              <w:rPr/>
            </w:pPr>
            <w:r>
              <w:rPr>
                <w:rFonts w:ascii="宋体" w:cs="宋体" w:hAnsi="宋体"/>
                <w:sz w:val="24"/>
              </w:rPr>
              <w:t>数据调整：如果医院因操作不当或其他原因造成患者数据出现部分或全部错误（包括但不限于查找不到患者信息、不能编辑病历信息等），协助医院系统维护人员进行数据调整。</w:t>
            </w:r>
          </w:p>
        </w:tc>
      </w:tr>
      <w:tr w14:paraId="0B021349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384336CE">
            <w:pPr>
              <w:pStyle w:val="style0"/>
              <w:jc w:val="center"/>
              <w:rPr/>
            </w:pPr>
            <w:r>
              <w:rPr>
                <w:rFonts w:hint="eastAsia"/>
                <w:b/>
                <w:bCs/>
              </w:rPr>
              <w:t>数据维护</w:t>
            </w:r>
          </w:p>
        </w:tc>
        <w:tc>
          <w:tcPr>
            <w:tcW w:w="8330" w:type="dxa"/>
            <w:tcBorders/>
          </w:tcPr>
          <w:p w14:paraId="059A497E">
            <w:pPr>
              <w:pStyle w:val="style66"/>
              <w:spacing w:after="0"/>
              <w:rPr/>
            </w:pPr>
            <w:r>
              <w:rPr>
                <w:rFonts w:ascii="宋体" w:cs="宋体" w:hAnsi="宋体"/>
                <w:sz w:val="24"/>
              </w:rPr>
              <w:t>特殊服务：在系统灾难发生时，供应商承诺立即响应，减少数据损失，降低灾难对整个系统正常运行的影响。</w:t>
            </w:r>
          </w:p>
        </w:tc>
      </w:tr>
      <w:tr w14:paraId="21C09BFF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69AA86F2">
            <w:pPr>
              <w:pStyle w:val="style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响应时间</w:t>
            </w:r>
          </w:p>
        </w:tc>
        <w:tc>
          <w:tcPr>
            <w:tcW w:w="8330" w:type="dxa"/>
            <w:tcBorders/>
            <w:vAlign w:val="center"/>
          </w:tcPr>
          <w:p w14:paraId="4E07F14B">
            <w:pPr>
              <w:pStyle w:val="style66"/>
              <w:spacing w:after="0"/>
              <w:rPr/>
            </w:pPr>
            <w:r>
              <w:rPr>
                <w:rFonts w:ascii="宋体" w:cs="宋体" w:hAnsi="宋体"/>
                <w:sz w:val="24"/>
              </w:rPr>
              <w:t>接到报修任务后，在10分钟内响应，1小时内到达现场进行维护。</w:t>
            </w:r>
          </w:p>
        </w:tc>
      </w:tr>
      <w:tr w14:paraId="6111CA34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752D3FA1">
            <w:pPr>
              <w:pStyle w:val="style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技术支持与培训</w:t>
            </w:r>
          </w:p>
        </w:tc>
        <w:tc>
          <w:tcPr>
            <w:tcW w:w="8330" w:type="dxa"/>
            <w:tcBorders/>
          </w:tcPr>
          <w:p w14:paraId="63EEF3F4">
            <w:pPr>
              <w:pStyle w:val="style66"/>
              <w:spacing w:after="0"/>
              <w:rPr/>
            </w:pPr>
            <w:r>
              <w:rPr>
                <w:rFonts w:ascii="宋体" w:cs="宋体" w:hAnsi="宋体"/>
                <w:sz w:val="24"/>
              </w:rPr>
              <w:t>技术培训：为医院工作人员提供定期的技术培训，以确保能够熟练掌握软件操作，从而提高工作效率。</w:t>
            </w:r>
            <w:bookmarkStart w:id="0" w:name="_GoBack"/>
            <w:bookmarkEnd w:id="0"/>
          </w:p>
        </w:tc>
      </w:tr>
      <w:tr w14:paraId="5AEE2DEB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028722AF">
            <w:pPr>
              <w:pStyle w:val="style0"/>
              <w:jc w:val="center"/>
              <w:rPr/>
            </w:pPr>
            <w:r>
              <w:rPr>
                <w:rFonts w:hint="eastAsia"/>
                <w:b/>
                <w:bCs/>
              </w:rPr>
              <w:t>技术支持与培训</w:t>
            </w:r>
          </w:p>
        </w:tc>
        <w:tc>
          <w:tcPr>
            <w:tcW w:w="8330" w:type="dxa"/>
            <w:tcBorders/>
          </w:tcPr>
          <w:p w14:paraId="154A355F">
            <w:pPr>
              <w:pStyle w:val="style66"/>
              <w:spacing w:after="0"/>
              <w:rPr/>
            </w:pPr>
            <w:r>
              <w:rPr>
                <w:rFonts w:ascii="宋体" w:cs="宋体" w:hAnsi="宋体"/>
                <w:sz w:val="24"/>
              </w:rPr>
              <w:t>现场指导：针对</w:t>
            </w:r>
            <w:r>
              <w:rPr>
                <w:rFonts w:ascii="宋体" w:cs="宋体" w:hAnsi="宋体" w:hint="eastAsia"/>
                <w:sz w:val="24"/>
              </w:rPr>
              <w:t>日常的</w:t>
            </w:r>
            <w:r>
              <w:rPr>
                <w:rFonts w:ascii="宋体" w:cs="宋体" w:hAnsi="宋体"/>
                <w:sz w:val="24"/>
              </w:rPr>
              <w:t>操作流程，</w:t>
            </w:r>
            <w:r>
              <w:rPr>
                <w:rFonts w:ascii="宋体" w:cs="宋体" w:hAnsi="宋体" w:hint="eastAsia"/>
                <w:sz w:val="24"/>
              </w:rPr>
              <w:t>驻场人员</w:t>
            </w:r>
            <w:r>
              <w:rPr>
                <w:rFonts w:ascii="宋体" w:cs="宋体" w:hAnsi="宋体"/>
                <w:sz w:val="24"/>
              </w:rPr>
              <w:t>会提供现场指导服务。通过面对面的交流和实际操作演示，确保医院工作人员能够正确无误地使用软件，同时解决在实际操作中可能遇到的任何问题。</w:t>
            </w:r>
          </w:p>
        </w:tc>
      </w:tr>
      <w:tr w14:paraId="26D8FCBD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7E6467E2">
            <w:pPr>
              <w:pStyle w:val="style0"/>
              <w:jc w:val="center"/>
              <w:rPr/>
            </w:pPr>
            <w:r>
              <w:rPr>
                <w:rFonts w:hint="eastAsia"/>
                <w:b/>
                <w:bCs/>
              </w:rPr>
              <w:t>技术支持与培训</w:t>
            </w:r>
          </w:p>
        </w:tc>
        <w:tc>
          <w:tcPr>
            <w:tcW w:w="8330" w:type="dxa"/>
            <w:tcBorders/>
          </w:tcPr>
          <w:p w14:paraId="6CF24F4C">
            <w:pPr>
              <w:pStyle w:val="style66"/>
              <w:spacing w:after="0"/>
              <w:rPr/>
            </w:pPr>
            <w:r>
              <w:rPr>
                <w:rFonts w:ascii="宋体" w:cs="宋体" w:hAnsi="宋体"/>
                <w:sz w:val="24"/>
              </w:rPr>
              <w:t>远程支持：除了现场指导，</w:t>
            </w:r>
            <w:r>
              <w:rPr>
                <w:rFonts w:ascii="宋体" w:cs="宋体" w:hAnsi="宋体" w:hint="eastAsia"/>
                <w:sz w:val="24"/>
              </w:rPr>
              <w:t>应</w:t>
            </w:r>
            <w:r>
              <w:rPr>
                <w:rFonts w:ascii="宋体" w:cs="宋体" w:hAnsi="宋体"/>
                <w:sz w:val="24"/>
              </w:rPr>
              <w:t>提供</w:t>
            </w:r>
            <w:r>
              <w:rPr>
                <w:rFonts w:ascii="宋体" w:cs="宋体" w:hAnsi="宋体" w:hint="eastAsia"/>
                <w:sz w:val="24"/>
              </w:rPr>
              <w:t>7*24小时</w:t>
            </w:r>
            <w:r>
              <w:rPr>
                <w:rFonts w:ascii="宋体" w:cs="宋体" w:hAnsi="宋体"/>
                <w:sz w:val="24"/>
              </w:rPr>
              <w:t>的远程技术支持服务。通过电话、邮件或在线聊天，医院工作人员可以随时获得帮助，解决他们在使用软件过程中遇到的任何问题。</w:t>
            </w:r>
          </w:p>
        </w:tc>
      </w:tr>
      <w:tr w14:paraId="323690FE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6D64A850">
            <w:pPr>
              <w:pStyle w:val="style0"/>
              <w:jc w:val="center"/>
              <w:rPr/>
            </w:pPr>
            <w:r>
              <w:rPr>
                <w:rFonts w:hint="eastAsia"/>
                <w:b/>
                <w:bCs/>
              </w:rPr>
              <w:t>技术支持与培训</w:t>
            </w:r>
          </w:p>
        </w:tc>
        <w:tc>
          <w:tcPr>
            <w:tcW w:w="8330" w:type="dxa"/>
            <w:tcBorders/>
          </w:tcPr>
          <w:p w14:paraId="4999F41B">
            <w:pPr>
              <w:pStyle w:val="style66"/>
              <w:spacing w:after="0"/>
              <w:rPr/>
            </w:pPr>
            <w:r>
              <w:rPr>
                <w:rFonts w:ascii="宋体" w:cs="宋体" w:hAnsi="宋体"/>
                <w:sz w:val="24"/>
              </w:rPr>
              <w:t>问题排查：针对医院工作人员在使用过程中遇到的技术问题，提供详细的排查和解决方案，确保系统稳定运行。</w:t>
            </w:r>
          </w:p>
        </w:tc>
      </w:tr>
      <w:tr w14:paraId="6BD04FC9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72652A4D">
            <w:pPr>
              <w:pStyle w:val="style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系统优化</w:t>
            </w:r>
          </w:p>
        </w:tc>
        <w:tc>
          <w:tcPr>
            <w:tcW w:w="8330" w:type="dxa"/>
            <w:tcBorders/>
          </w:tcPr>
          <w:p w14:paraId="2E14B77F">
            <w:pPr>
              <w:pStyle w:val="style66"/>
              <w:spacing w:after="0"/>
              <w:rPr/>
            </w:pPr>
            <w:r>
              <w:rPr>
                <w:rFonts w:ascii="宋体" w:cs="宋体" w:hAnsi="宋体"/>
                <w:sz w:val="24"/>
              </w:rPr>
              <w:t>系统评估：定期对医院的系统进行评估，分析系统运行状况，提出优化建议。</w:t>
            </w:r>
          </w:p>
        </w:tc>
      </w:tr>
      <w:tr w14:paraId="4F7938CC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3191CB41">
            <w:pPr>
              <w:pStyle w:val="style0"/>
              <w:jc w:val="center"/>
              <w:rPr/>
            </w:pPr>
            <w:r>
              <w:rPr>
                <w:rFonts w:hint="eastAsia"/>
                <w:b/>
                <w:bCs/>
              </w:rPr>
              <w:t>系统优化</w:t>
            </w:r>
          </w:p>
        </w:tc>
        <w:tc>
          <w:tcPr>
            <w:tcW w:w="8330" w:type="dxa"/>
            <w:tcBorders/>
          </w:tcPr>
          <w:p w14:paraId="412F5268">
            <w:pPr>
              <w:pStyle w:val="style66"/>
              <w:spacing w:after="0"/>
              <w:rPr/>
            </w:pPr>
            <w:r>
              <w:rPr>
                <w:rFonts w:ascii="宋体" w:cs="宋体" w:hAnsi="宋体"/>
                <w:sz w:val="24"/>
              </w:rPr>
              <w:t>性能优化：根据评估结果，对系统进行性能优化，提高系统的响应速度和处理能力。</w:t>
            </w:r>
          </w:p>
        </w:tc>
      </w:tr>
      <w:tr w14:paraId="66552179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7884BBDA">
            <w:pPr>
              <w:pStyle w:val="style0"/>
              <w:jc w:val="center"/>
              <w:rPr/>
            </w:pPr>
            <w:r>
              <w:rPr>
                <w:rFonts w:hint="eastAsia"/>
                <w:b/>
                <w:bCs/>
              </w:rPr>
              <w:t>系统优化</w:t>
            </w:r>
          </w:p>
        </w:tc>
        <w:tc>
          <w:tcPr>
            <w:tcW w:w="8330" w:type="dxa"/>
            <w:tcBorders/>
          </w:tcPr>
          <w:p w14:paraId="1727A0EB">
            <w:pPr>
              <w:pStyle w:val="style66"/>
              <w:spacing w:after="0"/>
              <w:rPr/>
            </w:pPr>
            <w:r>
              <w:rPr>
                <w:rFonts w:ascii="宋体" w:cs="宋体" w:hAnsi="宋体"/>
                <w:sz w:val="24"/>
              </w:rPr>
              <w:t>安全加固：加强系统的安全性能，定期进行安全检查和漏洞修复，确保医院数据的安全。</w:t>
            </w:r>
          </w:p>
        </w:tc>
      </w:tr>
      <w:tr w14:paraId="47319726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6AF21172">
            <w:pPr>
              <w:pStyle w:val="style0"/>
              <w:jc w:val="center"/>
              <w:rPr/>
            </w:pPr>
            <w:r>
              <w:rPr>
                <w:rFonts w:hint="eastAsia"/>
                <w:b/>
                <w:bCs/>
              </w:rPr>
              <w:t>系统优化</w:t>
            </w:r>
          </w:p>
        </w:tc>
        <w:tc>
          <w:tcPr>
            <w:tcW w:w="8330" w:type="dxa"/>
            <w:tcBorders/>
          </w:tcPr>
          <w:p w14:paraId="6394313B">
            <w:pPr>
              <w:pStyle w:val="style66"/>
              <w:spacing w:after="0"/>
              <w:rPr/>
            </w:pPr>
            <w:r>
              <w:rPr>
                <w:rFonts w:ascii="宋体" w:cs="宋体" w:hAnsi="宋体" w:hint="eastAsia"/>
                <w:sz w:val="24"/>
              </w:rPr>
              <w:t>用户体验提升：通过收集用户反馈，提升用户的使用体验。</w:t>
            </w:r>
          </w:p>
        </w:tc>
      </w:tr>
      <w:tr w14:paraId="0775664A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54806A2A">
            <w:pPr>
              <w:pStyle w:val="style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客户反馈与支持</w:t>
            </w:r>
          </w:p>
        </w:tc>
        <w:tc>
          <w:tcPr>
            <w:tcW w:w="8330" w:type="dxa"/>
            <w:tcBorders/>
          </w:tcPr>
          <w:p w14:paraId="5D75B389">
            <w:pPr>
              <w:pStyle w:val="style66"/>
              <w:spacing w:after="0"/>
              <w:rPr/>
            </w:pPr>
            <w:r>
              <w:rPr>
                <w:rFonts w:ascii="宋体" w:cs="宋体" w:hAnsi="宋体"/>
                <w:sz w:val="24"/>
              </w:rPr>
              <w:t>问题处理：对于用户反馈的问题，及时响应，并在规定时间内给出解决方案。</w:t>
            </w:r>
          </w:p>
        </w:tc>
      </w:tr>
      <w:tr w14:paraId="5788705C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3DE1DE5A">
            <w:pPr>
              <w:pStyle w:val="style0"/>
              <w:jc w:val="center"/>
              <w:rPr/>
            </w:pPr>
            <w:r>
              <w:rPr>
                <w:rFonts w:hint="eastAsia"/>
                <w:b/>
                <w:bCs/>
              </w:rPr>
              <w:t>客户反馈与支持</w:t>
            </w:r>
          </w:p>
        </w:tc>
        <w:tc>
          <w:tcPr>
            <w:tcW w:w="8330" w:type="dxa"/>
            <w:tcBorders/>
          </w:tcPr>
          <w:p w14:paraId="1D1C08C0">
            <w:pPr>
              <w:pStyle w:val="style66"/>
              <w:spacing w:after="0"/>
              <w:rPr/>
            </w:pPr>
            <w:r>
              <w:rPr>
                <w:rFonts w:ascii="宋体" w:cs="宋体" w:hAnsi="宋体"/>
                <w:sz w:val="24"/>
              </w:rPr>
              <w:t>满意度调查：定期进行客户满意度调查，了解用户对服务的满意程度，不断改进服务质量。</w:t>
            </w:r>
          </w:p>
        </w:tc>
      </w:tr>
      <w:tr w14:paraId="0CD1BAB2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284B659F">
            <w:pPr>
              <w:pStyle w:val="style0"/>
              <w:jc w:val="center"/>
              <w:rPr/>
            </w:pPr>
            <w:r>
              <w:rPr>
                <w:rFonts w:hint="eastAsia"/>
                <w:b/>
                <w:bCs/>
              </w:rPr>
              <w:t>客户反馈与支持</w:t>
            </w:r>
          </w:p>
        </w:tc>
        <w:tc>
          <w:tcPr>
            <w:tcW w:w="8330" w:type="dxa"/>
            <w:tcBorders/>
          </w:tcPr>
          <w:p w14:paraId="6F864353">
            <w:pPr>
              <w:pStyle w:val="style66"/>
              <w:spacing w:after="0"/>
              <w:rPr/>
            </w:pPr>
            <w:r>
              <w:rPr>
                <w:rFonts w:ascii="宋体" w:cs="宋体" w:hAnsi="宋体"/>
                <w:sz w:val="24"/>
              </w:rPr>
              <w:t>持续改进：根据用户反馈和满意度调查结果，持续改进服务流程和技术支持，以提供更优质的服务。</w:t>
            </w:r>
          </w:p>
        </w:tc>
      </w:tr>
      <w:tr w14:paraId="60A5461C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64F3F596">
            <w:pPr>
              <w:pStyle w:val="style0"/>
              <w:jc w:val="center"/>
              <w:rPr/>
            </w:pPr>
            <w:r>
              <w:rPr>
                <w:rFonts w:hint="eastAsia"/>
                <w:b/>
                <w:bCs/>
              </w:rPr>
              <w:t>客户反馈与支持</w:t>
            </w:r>
          </w:p>
        </w:tc>
        <w:tc>
          <w:tcPr>
            <w:tcW w:w="8330" w:type="dxa"/>
            <w:tcBorders/>
          </w:tcPr>
          <w:p w14:paraId="7E215ACC">
            <w:pPr>
              <w:pStyle w:val="style66"/>
              <w:spacing w:after="0"/>
              <w:rPr/>
            </w:pPr>
            <w:r>
              <w:rPr>
                <w:rFonts w:ascii="宋体" w:cs="宋体" w:hAnsi="宋体" w:hint="eastAsia"/>
                <w:sz w:val="24"/>
              </w:rPr>
              <w:t xml:space="preserve">反馈分析：详细分析用户反馈，识别常见问题和潜在需求，为系统优化和服务改进提供依据。  </w:t>
            </w:r>
          </w:p>
        </w:tc>
      </w:tr>
      <w:tr w14:paraId="2223FFEC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3F7F7FB5">
            <w:pPr>
              <w:pStyle w:val="style0"/>
              <w:jc w:val="center"/>
              <w:rPr/>
            </w:pPr>
            <w:r>
              <w:rPr>
                <w:rFonts w:hint="eastAsia"/>
                <w:b/>
                <w:bCs/>
              </w:rPr>
              <w:t>客户反馈与支持</w:t>
            </w:r>
          </w:p>
        </w:tc>
        <w:tc>
          <w:tcPr>
            <w:tcW w:w="8330" w:type="dxa"/>
            <w:tcBorders/>
          </w:tcPr>
          <w:p w14:paraId="19530CF0">
            <w:pPr>
              <w:pStyle w:val="style66"/>
              <w:spacing w:after="0"/>
              <w:rPr/>
            </w:pPr>
            <w:r>
              <w:rPr>
                <w:rFonts w:ascii="宋体" w:cs="宋体" w:hAnsi="宋体" w:hint="eastAsia"/>
                <w:sz w:val="24"/>
              </w:rPr>
              <w:t>客户关系管理：建立客户关系管理系统，记录用户反馈历史和解决方案，提高服务效率。</w:t>
            </w:r>
          </w:p>
        </w:tc>
      </w:tr>
      <w:tr w14:paraId="735FFAAB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5A1DC511">
            <w:pPr>
              <w:pStyle w:val="style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硬件维护</w:t>
            </w:r>
          </w:p>
        </w:tc>
        <w:tc>
          <w:tcPr>
            <w:tcW w:w="8330" w:type="dxa"/>
            <w:tcBorders/>
          </w:tcPr>
          <w:p w14:paraId="431E1031">
            <w:pPr>
              <w:pStyle w:val="style66"/>
              <w:spacing w:after="0"/>
              <w:rPr/>
            </w:pPr>
            <w:r>
              <w:rPr>
                <w:rFonts w:ascii="宋体" w:cs="宋体" w:hAnsi="宋体" w:hint="eastAsia"/>
                <w:sz w:val="24"/>
              </w:rPr>
              <w:t xml:space="preserve">预防性维护：制定并执行预防性维护计划，提前发现和解决潜在问题，延长系统使用寿命。  </w:t>
            </w:r>
          </w:p>
        </w:tc>
      </w:tr>
      <w:tr w14:paraId="6FCB20D0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44206E47">
            <w:pPr>
              <w:pStyle w:val="style0"/>
              <w:jc w:val="center"/>
              <w:rPr/>
            </w:pPr>
            <w:r>
              <w:rPr>
                <w:rFonts w:hint="eastAsia"/>
                <w:b/>
                <w:bCs/>
              </w:rPr>
              <w:t>硬件维护</w:t>
            </w:r>
          </w:p>
        </w:tc>
        <w:tc>
          <w:tcPr>
            <w:tcW w:w="8330" w:type="dxa"/>
            <w:tcBorders/>
          </w:tcPr>
          <w:p w14:paraId="2B3372E2">
            <w:pPr>
              <w:pStyle w:val="style66"/>
              <w:spacing w:after="0"/>
              <w:rPr/>
            </w:pPr>
            <w:r>
              <w:rPr>
                <w:rFonts w:ascii="宋体" w:cs="宋体" w:hAnsi="宋体" w:hint="eastAsia"/>
                <w:sz w:val="24"/>
              </w:rPr>
              <w:t>技术支持：提供专业的技术支持团队，随时响应医院的硬件维护需求，确保系统正常运行。</w:t>
            </w:r>
          </w:p>
        </w:tc>
      </w:tr>
      <w:tr w14:paraId="4BD65A23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5EB6CE29">
            <w:pPr>
              <w:pStyle w:val="style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文档与报告</w:t>
            </w:r>
          </w:p>
        </w:tc>
        <w:tc>
          <w:tcPr>
            <w:tcW w:w="8330" w:type="dxa"/>
            <w:tcBorders/>
          </w:tcPr>
          <w:p w14:paraId="260FEBD0">
            <w:pPr>
              <w:pStyle w:val="style66"/>
              <w:spacing w:after="0"/>
              <w:rPr/>
            </w:pPr>
            <w:r>
              <w:rPr>
                <w:rFonts w:ascii="宋体" w:cs="宋体" w:hAnsi="宋体"/>
                <w:sz w:val="24"/>
              </w:rPr>
              <w:t>文档编制：为医院提供详细的系统维护文档，方便医院工作人员查阅和使用。</w:t>
            </w:r>
          </w:p>
        </w:tc>
      </w:tr>
      <w:tr w14:paraId="20DBBDD6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794CC6CE">
            <w:pPr>
              <w:pStyle w:val="style0"/>
              <w:jc w:val="center"/>
              <w:rPr/>
            </w:pPr>
            <w:r>
              <w:rPr>
                <w:rFonts w:hint="eastAsia"/>
                <w:b/>
                <w:bCs/>
              </w:rPr>
              <w:t>文档与报告</w:t>
            </w:r>
          </w:p>
        </w:tc>
        <w:tc>
          <w:tcPr>
            <w:tcW w:w="8330" w:type="dxa"/>
            <w:tcBorders/>
          </w:tcPr>
          <w:p w14:paraId="1173C1BA">
            <w:pPr>
              <w:pStyle w:val="style66"/>
              <w:spacing w:after="0"/>
              <w:rPr/>
            </w:pPr>
            <w:r>
              <w:rPr>
                <w:rFonts w:ascii="宋体" w:cs="宋体" w:hAnsi="宋体"/>
                <w:sz w:val="24"/>
              </w:rPr>
              <w:t>报告生成：定期为医院生成系统运行报告和维护报告，帮助医院了解系统的运行状况和维护情况。</w:t>
            </w:r>
          </w:p>
        </w:tc>
      </w:tr>
      <w:tr w14:paraId="24BEB125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290E763D">
            <w:pPr>
              <w:pStyle w:val="style0"/>
              <w:jc w:val="center"/>
              <w:rPr/>
            </w:pPr>
            <w:r>
              <w:rPr>
                <w:rFonts w:hint="eastAsia"/>
                <w:b/>
                <w:bCs/>
              </w:rPr>
              <w:t>文档与报告</w:t>
            </w:r>
          </w:p>
        </w:tc>
        <w:tc>
          <w:tcPr>
            <w:tcW w:w="8330" w:type="dxa"/>
            <w:tcBorders/>
          </w:tcPr>
          <w:p w14:paraId="2ADABE2E">
            <w:pPr>
              <w:pStyle w:val="style66"/>
              <w:spacing w:after="0"/>
              <w:rPr/>
            </w:pPr>
            <w:r>
              <w:rPr>
                <w:rFonts w:ascii="宋体" w:cs="宋体" w:hAnsi="宋体"/>
                <w:sz w:val="24"/>
              </w:rPr>
              <w:t>报告分析：对系统运行报告和维护报告进行分析，提出改进建议和服务优化方案。</w:t>
            </w:r>
          </w:p>
        </w:tc>
      </w:tr>
      <w:tr w14:paraId="5D7715D6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429EA864">
            <w:pPr>
              <w:pStyle w:val="style0"/>
              <w:jc w:val="center"/>
              <w:rPr/>
            </w:pPr>
            <w:r>
              <w:rPr>
                <w:rFonts w:hint="eastAsia"/>
                <w:b/>
                <w:bCs/>
              </w:rPr>
              <w:t>文档与报告</w:t>
            </w:r>
          </w:p>
        </w:tc>
        <w:tc>
          <w:tcPr>
            <w:tcW w:w="8330" w:type="dxa"/>
            <w:tcBorders/>
          </w:tcPr>
          <w:p w14:paraId="5BAED6E6">
            <w:pPr>
              <w:pStyle w:val="style66"/>
              <w:spacing w:after="0"/>
              <w:rPr/>
            </w:pPr>
            <w:r>
              <w:rPr>
                <w:rFonts w:ascii="宋体" w:cs="宋体" w:hAnsi="宋体"/>
                <w:sz w:val="24"/>
              </w:rPr>
              <w:t>报告提交：系统运行报告和维护报告及时提交给医院，确保医院能够及时了解系统的运行状况和维护情况。</w:t>
            </w:r>
          </w:p>
        </w:tc>
      </w:tr>
      <w:tr w14:paraId="35696203">
        <w:tblPrEx/>
        <w:trPr>
          <w:trHeight w:val="709" w:hRule="atLeast"/>
          <w:jc w:val="center"/>
        </w:trPr>
        <w:tc>
          <w:tcPr>
            <w:tcW w:w="1740" w:type="dxa"/>
            <w:tcBorders/>
            <w:vAlign w:val="center"/>
          </w:tcPr>
          <w:p w14:paraId="3C8D9C3E">
            <w:pPr>
              <w:pStyle w:val="style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维护周期</w:t>
            </w:r>
          </w:p>
        </w:tc>
        <w:tc>
          <w:tcPr>
            <w:tcW w:w="8330" w:type="dxa"/>
            <w:tcBorders/>
            <w:vAlign w:val="center"/>
          </w:tcPr>
          <w:p w14:paraId="1FAFC6C6">
            <w:pPr>
              <w:pStyle w:val="style66"/>
              <w:spacing w:after="0"/>
              <w:rPr/>
            </w:pPr>
            <w:r>
              <w:rPr>
                <w:rFonts w:hint="eastAsia"/>
              </w:rPr>
              <w:t>叁</w:t>
            </w:r>
            <w:r>
              <w:rPr>
                <w:rFonts w:hint="default"/>
                <w:lang w:val="en-US"/>
              </w:rPr>
              <w:t>年</w:t>
            </w:r>
          </w:p>
        </w:tc>
      </w:tr>
    </w:tbl>
    <w:p w14:paraId="6D132F6B">
      <w:pPr>
        <w:pStyle w:val="style66"/>
        <w:rPr/>
      </w:pPr>
    </w:p>
    <w:p w14:paraId="3E75B850">
      <w:pPr>
        <w:pStyle w:val="style0"/>
        <w:rPr/>
        <w:sectPr>
          <w:footerReference w:type="default" r:id="rId2"/>
          <w:pgSz w:w="11906" w:h="16838" w:orient="portrait"/>
          <w:pgMar w:top="1134" w:right="1134" w:bottom="1134" w:left="1134" w:header="851" w:footer="992" w:gutter="0"/>
          <w:cols w:space="720" w:num="1"/>
          <w:docGrid w:linePitch="312" w:charSpace="0"/>
        </w:sectPr>
      </w:pPr>
    </w:p>
    <w:p w14:paraId="2182B452">
      <w:pPr>
        <w:pStyle w:val="style1"/>
        <w:rPr>
          <w:rFonts w:ascii="宋体" w:cs="宋体" w:hAnsi="宋体"/>
          <w:szCs w:val="28"/>
        </w:rPr>
      </w:pPr>
      <w:r>
        <w:rPr>
          <w:rFonts w:ascii="宋体" w:cs="宋体" w:hAnsi="宋体" w:hint="eastAsia"/>
          <w:szCs w:val="28"/>
        </w:rPr>
        <w:t>核医学系统维保服务范围</w:t>
      </w:r>
    </w:p>
    <w:p w14:paraId="714637CD">
      <w:pPr>
        <w:pStyle w:val="style0"/>
        <w:spacing w:lineRule="auto" w:line="360"/>
        <w:rPr>
          <w:rFonts w:ascii="宋体" w:cs="宋体" w:hAnsi="宋体"/>
          <w:b/>
          <w:bCs/>
          <w:snapToGrid w:val="false"/>
          <w:kern w:val="0"/>
          <w:sz w:val="24"/>
        </w:rPr>
      </w:pPr>
      <w:r>
        <w:rPr>
          <w:rFonts w:ascii="宋体" w:cs="宋体" w:hAnsi="宋体" w:hint="eastAsia"/>
          <w:sz w:val="24"/>
        </w:rPr>
        <w:t>涵盖PET-CT检查所有工作站节点软件模块，系统已PET-CT实现全流程管理，覆盖的软件模块及站点如下：</w:t>
      </w:r>
    </w:p>
    <w:tbl>
      <w:tblPr>
        <w:tblStyle w:val="style105"/>
        <w:tblW w:w="0" w:type="auto"/>
        <w:tblInd w:w="-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0"/>
        <w:gridCol w:w="5205"/>
      </w:tblGrid>
      <w:tr w14:paraId="3EC4B015">
        <w:trPr>
          <w:trHeight w:val="375" w:hRule="atLeast"/>
        </w:trPr>
        <w:tc>
          <w:tcPr>
            <w:tcW w:w="0" w:type="auto"/>
            <w:tcBorders/>
            <w:shd w:val="clear" w:color="auto" w:fill="auto"/>
            <w:vAlign w:val="center"/>
          </w:tcPr>
          <w:p w14:paraId="2DD79495">
            <w:pPr>
              <w:pStyle w:val="style0"/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系统名称</w:t>
            </w:r>
          </w:p>
        </w:tc>
        <w:tc>
          <w:tcPr>
            <w:tcW w:w="0" w:type="auto"/>
            <w:tcBorders/>
            <w:shd w:val="clear" w:color="auto" w:fill="auto"/>
            <w:vAlign w:val="center"/>
          </w:tcPr>
          <w:p w14:paraId="426BDB31">
            <w:pPr>
              <w:pStyle w:val="style0"/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软件配置</w:t>
            </w:r>
          </w:p>
        </w:tc>
      </w:tr>
      <w:tr w14:paraId="64CFE1FD">
        <w:tblPrEx/>
        <w:trPr>
          <w:trHeight w:val="435" w:hRule="atLeast"/>
        </w:trPr>
        <w:tc>
          <w:tcPr>
            <w:tcW w:w="0" w:type="auto"/>
            <w:vMerge w:val="restart"/>
            <w:tcBorders/>
            <w:shd w:val="clear" w:color="auto" w:fill="auto"/>
            <w:vAlign w:val="center"/>
          </w:tcPr>
          <w:p w14:paraId="1AA3E1D5">
            <w:pPr>
              <w:pStyle w:val="style0"/>
              <w:widowControl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服务期与存储</w:t>
            </w:r>
          </w:p>
        </w:tc>
        <w:tc>
          <w:tcPr>
            <w:tcW w:w="0" w:type="auto"/>
            <w:tcBorders/>
            <w:shd w:val="clear" w:color="auto" w:fill="auto"/>
            <w:vAlign w:val="center"/>
          </w:tcPr>
          <w:p w14:paraId="1C1B77CE">
            <w:pPr>
              <w:pStyle w:val="style0"/>
              <w:rPr>
                <w:rFonts w:ascii="宋体" w:hAnsi="宋体"/>
                <w:sz w:val="24"/>
                <w:lang w:val="pt-BR"/>
              </w:rPr>
            </w:pPr>
            <w:r>
              <w:rPr>
                <w:rFonts w:ascii="宋体" w:hAnsi="宋体" w:hint="eastAsia"/>
                <w:sz w:val="24"/>
                <w:lang w:val="pt-BR"/>
              </w:rPr>
              <w:t>MEMRS数据库服务软件</w:t>
            </w:r>
          </w:p>
        </w:tc>
      </w:tr>
      <w:tr w14:paraId="2DD93621">
        <w:tblPrEx/>
        <w:trPr>
          <w:trHeight w:val="435" w:hRule="atLeast"/>
        </w:trPr>
        <w:tc>
          <w:tcPr>
            <w:tcW w:w="0" w:type="auto"/>
            <w:vMerge w:val="continue"/>
            <w:tcBorders/>
            <w:shd w:val="clear" w:color="auto" w:fill="auto"/>
            <w:vAlign w:val="center"/>
          </w:tcPr>
          <w:p w14:paraId="161DA40B">
            <w:pPr>
              <w:pStyle w:val="style0"/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0" w:type="auto"/>
            <w:tcBorders/>
            <w:shd w:val="clear" w:color="auto" w:fill="auto"/>
            <w:vAlign w:val="center"/>
          </w:tcPr>
          <w:p w14:paraId="0A2AFA83">
            <w:pPr>
              <w:pStyle w:val="style0"/>
              <w:rPr>
                <w:rFonts w:ascii="宋体" w:hAnsi="宋体"/>
                <w:sz w:val="24"/>
                <w:lang w:val="pt-BR"/>
              </w:rPr>
            </w:pPr>
            <w:r>
              <w:rPr>
                <w:rFonts w:ascii="宋体" w:hAnsi="宋体" w:hint="eastAsia"/>
                <w:sz w:val="24"/>
                <w:lang w:val="pt-BR"/>
              </w:rPr>
              <w:t>MEMRS存储管理服务软件</w:t>
            </w:r>
          </w:p>
        </w:tc>
      </w:tr>
      <w:tr w14:paraId="77DE3FB0">
        <w:tblPrEx/>
        <w:trPr>
          <w:trHeight w:val="422" w:hRule="atLeast"/>
        </w:trPr>
        <w:tc>
          <w:tcPr>
            <w:tcW w:w="0" w:type="auto"/>
            <w:vMerge w:val="continue"/>
            <w:tcBorders/>
            <w:shd w:val="clear" w:color="auto" w:fill="auto"/>
            <w:vAlign w:val="center"/>
          </w:tcPr>
          <w:p w14:paraId="00FE4EDB">
            <w:pPr>
              <w:pStyle w:val="style0"/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0" w:type="auto"/>
            <w:tcBorders/>
            <w:shd w:val="clear" w:color="auto" w:fill="auto"/>
            <w:vAlign w:val="center"/>
          </w:tcPr>
          <w:p w14:paraId="3723EA3F">
            <w:pPr>
              <w:pStyle w:val="style0"/>
              <w:rPr>
                <w:rFonts w:ascii="宋体" w:hAnsi="宋体"/>
                <w:sz w:val="24"/>
                <w:lang w:val="pt-BR"/>
              </w:rPr>
            </w:pPr>
            <w:r>
              <w:rPr>
                <w:rFonts w:ascii="宋体" w:hAnsi="宋体" w:hint="eastAsia"/>
                <w:sz w:val="24"/>
                <w:lang w:val="pt-BR"/>
              </w:rPr>
              <w:t>MEMRS DICOM SERVER服务软件</w:t>
            </w:r>
          </w:p>
        </w:tc>
      </w:tr>
      <w:tr w14:paraId="78FDB117">
        <w:tblPrEx/>
        <w:trPr>
          <w:trHeight w:val="435" w:hRule="atLeast"/>
        </w:trPr>
        <w:tc>
          <w:tcPr>
            <w:tcW w:w="0" w:type="auto"/>
            <w:vMerge w:val="continue"/>
            <w:tcBorders/>
            <w:shd w:val="clear" w:color="auto" w:fill="auto"/>
            <w:vAlign w:val="center"/>
          </w:tcPr>
          <w:p w14:paraId="243E2F36">
            <w:pPr>
              <w:pStyle w:val="style0"/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0" w:type="auto"/>
            <w:tcBorders/>
            <w:shd w:val="clear" w:color="auto" w:fill="auto"/>
            <w:vAlign w:val="center"/>
          </w:tcPr>
          <w:p w14:paraId="00A5F03B">
            <w:pPr>
              <w:pStyle w:val="style0"/>
              <w:rPr>
                <w:rFonts w:ascii="宋体" w:hAnsi="宋体"/>
                <w:sz w:val="24"/>
                <w:lang w:val="pt-BR"/>
              </w:rPr>
            </w:pPr>
            <w:r>
              <w:rPr>
                <w:rFonts w:ascii="宋体" w:hAnsi="宋体" w:hint="eastAsia"/>
                <w:sz w:val="24"/>
                <w:lang w:val="pt-BR"/>
              </w:rPr>
              <w:t>MEMRS PACS 接口服务软件</w:t>
            </w:r>
          </w:p>
        </w:tc>
      </w:tr>
      <w:tr w14:paraId="38DDABCD">
        <w:tblPrEx/>
        <w:trPr>
          <w:trHeight w:val="435" w:hRule="atLeast"/>
        </w:trPr>
        <w:tc>
          <w:tcPr>
            <w:tcW w:w="0" w:type="auto"/>
            <w:vMerge w:val="continue"/>
            <w:tcBorders/>
            <w:shd w:val="clear" w:color="auto" w:fill="auto"/>
            <w:vAlign w:val="center"/>
          </w:tcPr>
          <w:p w14:paraId="377FBF43">
            <w:pPr>
              <w:pStyle w:val="style0"/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0" w:type="auto"/>
            <w:tcBorders/>
            <w:shd w:val="clear" w:color="auto" w:fill="auto"/>
            <w:vAlign w:val="center"/>
          </w:tcPr>
          <w:p w14:paraId="3AD92E9A">
            <w:pPr>
              <w:pStyle w:val="style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MEMRS HIS 接口服务软件</w:t>
            </w:r>
          </w:p>
        </w:tc>
      </w:tr>
      <w:tr w14:paraId="6606FC38">
        <w:tblPrEx/>
        <w:trPr>
          <w:trHeight w:val="435" w:hRule="atLeast"/>
        </w:trPr>
        <w:tc>
          <w:tcPr>
            <w:tcW w:w="0" w:type="auto"/>
            <w:vMerge w:val="continue"/>
            <w:tcBorders/>
            <w:shd w:val="clear" w:color="auto" w:fill="auto"/>
            <w:vAlign w:val="center"/>
          </w:tcPr>
          <w:p w14:paraId="2B14B9DB">
            <w:pPr>
              <w:pStyle w:val="style0"/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0" w:type="auto"/>
            <w:tcBorders/>
            <w:shd w:val="clear" w:color="auto" w:fill="auto"/>
            <w:vAlign w:val="center"/>
          </w:tcPr>
          <w:p w14:paraId="552ACCFD">
            <w:pPr>
              <w:pStyle w:val="style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MEMRS WEB临床浏览系统</w:t>
            </w:r>
          </w:p>
        </w:tc>
      </w:tr>
      <w:tr w14:paraId="03A4A768">
        <w:tblPrEx/>
        <w:trPr>
          <w:trHeight w:val="90" w:hRule="atLeast"/>
        </w:trPr>
        <w:tc>
          <w:tcPr>
            <w:tcW w:w="0" w:type="auto"/>
            <w:tcBorders/>
            <w:shd w:val="clear" w:color="auto" w:fill="auto"/>
            <w:vAlign w:val="center"/>
          </w:tcPr>
          <w:p w14:paraId="3506E947">
            <w:pPr>
              <w:pStyle w:val="style0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预约登记工作站</w:t>
            </w:r>
          </w:p>
        </w:tc>
        <w:tc>
          <w:tcPr>
            <w:tcW w:w="0" w:type="auto"/>
            <w:tcBorders/>
            <w:shd w:val="clear" w:color="auto" w:fill="auto"/>
            <w:vAlign w:val="center"/>
          </w:tcPr>
          <w:p w14:paraId="65302913">
            <w:pPr>
              <w:pStyle w:val="style0"/>
              <w:rPr>
                <w:rFonts w:ascii="宋体" w:hAnsi="宋体"/>
                <w:sz w:val="24"/>
                <w:lang w:val="pt-BR"/>
              </w:rPr>
            </w:pPr>
            <w:r>
              <w:rPr>
                <w:rFonts w:ascii="宋体" w:hAnsi="宋体" w:hint="eastAsia"/>
                <w:sz w:val="24"/>
                <w:lang w:val="pt-BR"/>
              </w:rPr>
              <w:t>预约登记软件</w:t>
            </w:r>
          </w:p>
        </w:tc>
      </w:tr>
      <w:tr w14:paraId="29D81CB1">
        <w:tblPrEx/>
        <w:trPr>
          <w:trHeight w:val="435" w:hRule="atLeast"/>
        </w:trPr>
        <w:tc>
          <w:tcPr>
            <w:tcW w:w="0" w:type="auto"/>
            <w:tcBorders/>
            <w:shd w:val="clear" w:color="auto" w:fill="auto"/>
            <w:vAlign w:val="center"/>
          </w:tcPr>
          <w:p w14:paraId="5EB6EAAA">
            <w:pPr>
              <w:pStyle w:val="style0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电子叫号系统</w:t>
            </w:r>
          </w:p>
        </w:tc>
        <w:tc>
          <w:tcPr>
            <w:tcW w:w="0" w:type="auto"/>
            <w:tcBorders/>
            <w:shd w:val="clear" w:color="auto" w:fill="auto"/>
            <w:vAlign w:val="center"/>
          </w:tcPr>
          <w:p w14:paraId="2A556A34">
            <w:pPr>
              <w:pStyle w:val="style0"/>
              <w:rPr>
                <w:rFonts w:ascii="宋体" w:hAnsi="宋体"/>
                <w:sz w:val="24"/>
                <w:lang w:val="pt-BR"/>
              </w:rPr>
            </w:pPr>
            <w:r>
              <w:rPr>
                <w:rFonts w:ascii="宋体" w:hAnsi="宋体" w:hint="eastAsia"/>
                <w:sz w:val="24"/>
                <w:lang w:val="pt-BR"/>
              </w:rPr>
              <w:t>MEMRS电子叫号服务软件</w:t>
            </w:r>
          </w:p>
        </w:tc>
      </w:tr>
      <w:tr w14:paraId="7BD71A14">
        <w:tblPrEx/>
        <w:trPr>
          <w:trHeight w:val="435" w:hRule="atLeast"/>
        </w:trPr>
        <w:tc>
          <w:tcPr>
            <w:tcW w:w="0" w:type="auto"/>
            <w:tcBorders/>
            <w:shd w:val="clear" w:color="auto" w:fill="auto"/>
            <w:vAlign w:val="center"/>
          </w:tcPr>
          <w:p w14:paraId="62D176EF">
            <w:pPr>
              <w:pStyle w:val="style0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病史问诊随访工作站</w:t>
            </w:r>
          </w:p>
        </w:tc>
        <w:tc>
          <w:tcPr>
            <w:tcW w:w="0" w:type="auto"/>
            <w:tcBorders/>
            <w:shd w:val="clear" w:color="auto" w:fill="auto"/>
            <w:vAlign w:val="center"/>
          </w:tcPr>
          <w:p w14:paraId="18CC975A">
            <w:pPr>
              <w:pStyle w:val="style0"/>
              <w:rPr>
                <w:rFonts w:ascii="宋体" w:hAnsi="宋体"/>
                <w:sz w:val="24"/>
                <w:lang w:val="pt-BR"/>
              </w:rPr>
            </w:pPr>
            <w:r>
              <w:rPr>
                <w:rFonts w:ascii="宋体" w:hAnsi="宋体" w:hint="eastAsia"/>
                <w:sz w:val="24"/>
                <w:lang w:val="pt-BR"/>
              </w:rPr>
              <w:t>MEMRS病史问诊管理软件</w:t>
            </w:r>
          </w:p>
        </w:tc>
      </w:tr>
      <w:tr w14:paraId="17B40BAF">
        <w:tblPrEx/>
        <w:trPr>
          <w:trHeight w:val="435" w:hRule="atLeast"/>
        </w:trPr>
        <w:tc>
          <w:tcPr>
            <w:tcW w:w="0" w:type="auto"/>
            <w:tcBorders/>
            <w:shd w:val="clear" w:color="auto" w:fill="auto"/>
            <w:vAlign w:val="center"/>
          </w:tcPr>
          <w:p w14:paraId="06106EED">
            <w:pPr>
              <w:pStyle w:val="style0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触摸式注射管理工作站</w:t>
            </w:r>
          </w:p>
        </w:tc>
        <w:tc>
          <w:tcPr>
            <w:tcW w:w="0" w:type="auto"/>
            <w:tcBorders/>
            <w:shd w:val="clear" w:color="auto" w:fill="auto"/>
            <w:vAlign w:val="center"/>
          </w:tcPr>
          <w:p w14:paraId="3F7C1EBD">
            <w:pPr>
              <w:pStyle w:val="style0"/>
              <w:rPr>
                <w:rFonts w:ascii="宋体" w:hAnsi="宋体"/>
                <w:sz w:val="24"/>
                <w:lang w:val="pt-BR"/>
              </w:rPr>
            </w:pPr>
            <w:r>
              <w:rPr>
                <w:rFonts w:ascii="宋体" w:hAnsi="宋体" w:hint="eastAsia"/>
                <w:sz w:val="24"/>
                <w:lang w:val="pt-BR"/>
              </w:rPr>
              <w:t>MEMRS注射管理软件</w:t>
            </w:r>
          </w:p>
        </w:tc>
      </w:tr>
      <w:tr w14:paraId="0E8515A7">
        <w:tblPrEx/>
        <w:trPr>
          <w:trHeight w:val="993" w:hRule="atLeast"/>
        </w:trPr>
        <w:tc>
          <w:tcPr>
            <w:tcW w:w="0" w:type="auto"/>
            <w:tcBorders/>
            <w:shd w:val="clear" w:color="auto" w:fill="auto"/>
            <w:vAlign w:val="center"/>
          </w:tcPr>
          <w:p w14:paraId="7130F5F0">
            <w:pPr>
              <w:pStyle w:val="style0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cs="Arial" w:hAnsi="宋体" w:hint="eastAsia"/>
                <w:sz w:val="24"/>
                <w:lang w:val="nl-NL"/>
              </w:rPr>
              <w:t>放射性药物管理工作站</w:t>
            </w:r>
          </w:p>
        </w:tc>
        <w:tc>
          <w:tcPr>
            <w:tcW w:w="0" w:type="auto"/>
            <w:tcBorders/>
            <w:shd w:val="clear" w:color="auto" w:fill="auto"/>
            <w:vAlign w:val="center"/>
          </w:tcPr>
          <w:p w14:paraId="7E57EF52">
            <w:pPr>
              <w:pStyle w:val="style0"/>
              <w:rPr>
                <w:rFonts w:ascii="宋体" w:hAnsi="宋体"/>
                <w:sz w:val="24"/>
                <w:lang w:val="pt-BR"/>
              </w:rPr>
            </w:pPr>
            <w:r>
              <w:rPr>
                <w:rFonts w:ascii="宋体" w:hAnsi="宋体" w:hint="eastAsia"/>
                <w:sz w:val="24"/>
                <w:lang w:val="pt-BR"/>
              </w:rPr>
              <w:t>核医学放射性药物生产、封装、调剂、运输等全流程管理</w:t>
            </w:r>
          </w:p>
        </w:tc>
      </w:tr>
      <w:tr w14:paraId="72250A1A">
        <w:tblPrEx/>
        <w:trPr>
          <w:trHeight w:val="435" w:hRule="atLeast"/>
        </w:trPr>
        <w:tc>
          <w:tcPr>
            <w:tcW w:w="0" w:type="auto"/>
            <w:vMerge w:val="restart"/>
            <w:tcBorders/>
            <w:shd w:val="clear" w:color="auto" w:fill="auto"/>
            <w:vAlign w:val="center"/>
          </w:tcPr>
          <w:p w14:paraId="63502CE3">
            <w:pPr>
              <w:pStyle w:val="style0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检查管理工作站</w:t>
            </w:r>
          </w:p>
        </w:tc>
        <w:tc>
          <w:tcPr>
            <w:tcW w:w="0" w:type="auto"/>
            <w:tcBorders/>
            <w:shd w:val="clear" w:color="auto" w:fill="auto"/>
            <w:vAlign w:val="center"/>
          </w:tcPr>
          <w:p w14:paraId="15D6F295">
            <w:pPr>
              <w:pStyle w:val="style0"/>
              <w:rPr>
                <w:rFonts w:ascii="宋体" w:hAnsi="宋体"/>
                <w:sz w:val="24"/>
                <w:lang w:val="pt-BR"/>
              </w:rPr>
            </w:pPr>
            <w:r>
              <w:rPr>
                <w:rFonts w:ascii="宋体" w:hAnsi="宋体" w:hint="eastAsia"/>
                <w:sz w:val="24"/>
                <w:lang w:val="pt-BR"/>
              </w:rPr>
              <w:t>MEMRS检查质量控制软件</w:t>
            </w:r>
          </w:p>
        </w:tc>
      </w:tr>
      <w:tr w14:paraId="0AE55DCE">
        <w:tblPrEx/>
        <w:trPr>
          <w:trHeight w:val="90" w:hRule="atLeast"/>
        </w:trPr>
        <w:tc>
          <w:tcPr>
            <w:tcW w:w="0" w:type="auto"/>
            <w:vMerge w:val="continue"/>
            <w:tcBorders/>
            <w:shd w:val="clear" w:color="auto" w:fill="auto"/>
            <w:vAlign w:val="center"/>
          </w:tcPr>
          <w:p w14:paraId="12018EB2">
            <w:pPr>
              <w:pStyle w:val="style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0" w:type="auto"/>
            <w:tcBorders/>
            <w:shd w:val="clear" w:color="auto" w:fill="auto"/>
            <w:vAlign w:val="center"/>
          </w:tcPr>
          <w:p w14:paraId="60CBF0E5">
            <w:pPr>
              <w:pStyle w:val="style0"/>
              <w:rPr>
                <w:rFonts w:ascii="宋体" w:hAnsi="宋体"/>
                <w:sz w:val="24"/>
                <w:lang w:val="pt-BR"/>
              </w:rPr>
            </w:pPr>
            <w:r>
              <w:rPr>
                <w:rFonts w:ascii="宋体" w:hAnsi="宋体" w:hint="eastAsia"/>
                <w:sz w:val="24"/>
                <w:lang w:val="pt-BR"/>
              </w:rPr>
              <w:t>MEMRS叫号集成软件</w:t>
            </w:r>
          </w:p>
        </w:tc>
      </w:tr>
      <w:tr w14:paraId="1D65DA43">
        <w:tblPrEx/>
        <w:trPr>
          <w:trHeight w:val="345" w:hRule="atLeast"/>
        </w:trPr>
        <w:tc>
          <w:tcPr>
            <w:tcW w:w="0" w:type="auto"/>
            <w:vMerge w:val="restart"/>
            <w:tcBorders/>
            <w:shd w:val="clear" w:color="auto" w:fill="auto"/>
            <w:vAlign w:val="center"/>
          </w:tcPr>
          <w:p w14:paraId="1C4C6ECC">
            <w:pPr>
              <w:pStyle w:val="style0"/>
              <w:widowControl/>
              <w:jc w:val="left"/>
              <w:rPr>
                <w:rFonts w:ascii="宋体" w:cs="Arial" w:hAnsi="宋体"/>
                <w:sz w:val="24"/>
                <w:lang w:val="nl-NL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P</w:t>
            </w:r>
            <w:r>
              <w:rPr>
                <w:rFonts w:ascii="宋体" w:hAnsi="宋体"/>
                <w:kern w:val="0"/>
                <w:sz w:val="24"/>
              </w:rPr>
              <w:t>ET-CT</w:t>
            </w:r>
            <w:r>
              <w:rPr>
                <w:rFonts w:ascii="宋体" w:hAnsi="宋体" w:hint="eastAsia"/>
                <w:kern w:val="0"/>
                <w:sz w:val="24"/>
              </w:rPr>
              <w:t>影像融合处理与报告工作站</w:t>
            </w:r>
          </w:p>
        </w:tc>
        <w:tc>
          <w:tcPr>
            <w:tcW w:w="0" w:type="auto"/>
            <w:tcBorders/>
            <w:shd w:val="clear" w:color="auto" w:fill="auto"/>
            <w:vAlign w:val="center"/>
          </w:tcPr>
          <w:p w14:paraId="3B433C1C">
            <w:pPr>
              <w:pStyle w:val="style0"/>
              <w:rPr>
                <w:rFonts w:ascii="宋体" w:hAnsi="宋体"/>
                <w:sz w:val="24"/>
                <w:lang w:val="pt-BR"/>
              </w:rPr>
            </w:pPr>
            <w:r>
              <w:rPr>
                <w:rFonts w:ascii="宋体" w:hAnsi="宋体" w:hint="eastAsia"/>
                <w:sz w:val="24"/>
                <w:lang w:val="pt-BR"/>
              </w:rPr>
              <w:t>PET-CT图像融合处理软件</w:t>
            </w:r>
          </w:p>
        </w:tc>
      </w:tr>
      <w:tr w14:paraId="0B5731BF">
        <w:tblPrEx/>
        <w:trPr>
          <w:trHeight w:val="345" w:hRule="atLeast"/>
        </w:trPr>
        <w:tc>
          <w:tcPr>
            <w:tcW w:w="0" w:type="auto"/>
            <w:vMerge w:val="continue"/>
            <w:tcBorders/>
            <w:shd w:val="clear" w:color="auto" w:fill="auto"/>
            <w:vAlign w:val="center"/>
          </w:tcPr>
          <w:p w14:paraId="6772F8E1">
            <w:pPr>
              <w:pStyle w:val="style0"/>
              <w:widowControl/>
              <w:jc w:val="left"/>
              <w:rPr>
                <w:rFonts w:ascii="宋体" w:cs="Arial" w:hAnsi="宋体"/>
                <w:sz w:val="24"/>
                <w:lang w:val="nl-NL"/>
              </w:rPr>
            </w:pPr>
          </w:p>
        </w:tc>
        <w:tc>
          <w:tcPr>
            <w:tcW w:w="0" w:type="auto"/>
            <w:tcBorders/>
            <w:shd w:val="clear" w:color="auto" w:fill="auto"/>
            <w:vAlign w:val="center"/>
          </w:tcPr>
          <w:p w14:paraId="40C2C6F3">
            <w:pPr>
              <w:pStyle w:val="style0"/>
              <w:rPr>
                <w:rFonts w:ascii="宋体" w:hAnsi="宋体"/>
                <w:sz w:val="24"/>
                <w:lang w:val="pt-BR"/>
              </w:rPr>
            </w:pPr>
            <w:r>
              <w:rPr>
                <w:rFonts w:ascii="宋体" w:hAnsi="宋体" w:hint="eastAsia"/>
                <w:sz w:val="24"/>
                <w:lang w:val="pt-BR"/>
              </w:rPr>
              <w:t>异机配准与融合处理软件</w:t>
            </w:r>
          </w:p>
        </w:tc>
      </w:tr>
      <w:tr w14:paraId="5445152C">
        <w:tblPrEx/>
        <w:trPr>
          <w:trHeight w:val="345" w:hRule="atLeast"/>
        </w:trPr>
        <w:tc>
          <w:tcPr>
            <w:tcW w:w="0" w:type="auto"/>
            <w:vMerge w:val="continue"/>
            <w:tcBorders/>
            <w:shd w:val="clear" w:color="auto" w:fill="auto"/>
            <w:vAlign w:val="center"/>
          </w:tcPr>
          <w:p w14:paraId="2B1C1B38">
            <w:pPr>
              <w:pStyle w:val="style0"/>
              <w:widowControl/>
              <w:jc w:val="left"/>
              <w:rPr>
                <w:rFonts w:ascii="宋体" w:cs="Arial" w:hAnsi="宋体"/>
                <w:sz w:val="24"/>
                <w:lang w:val="nl-NL"/>
              </w:rPr>
            </w:pPr>
          </w:p>
        </w:tc>
        <w:tc>
          <w:tcPr>
            <w:tcW w:w="0" w:type="auto"/>
            <w:tcBorders/>
            <w:shd w:val="clear" w:color="auto" w:fill="auto"/>
            <w:vAlign w:val="center"/>
          </w:tcPr>
          <w:p w14:paraId="704CFAF9">
            <w:pPr>
              <w:pStyle w:val="style0"/>
              <w:rPr>
                <w:rFonts w:ascii="宋体" w:hAnsi="宋体"/>
                <w:sz w:val="24"/>
                <w:lang w:val="pt-BR"/>
              </w:rPr>
            </w:pPr>
            <w:r>
              <w:rPr>
                <w:rFonts w:ascii="宋体" w:hAnsi="宋体" w:hint="eastAsia"/>
                <w:sz w:val="24"/>
                <w:lang w:val="pt-BR"/>
              </w:rPr>
              <w:t>PET-CT报告输出与审核软件</w:t>
            </w:r>
          </w:p>
        </w:tc>
      </w:tr>
      <w:tr w14:paraId="1883F64C">
        <w:tblPrEx/>
        <w:trPr>
          <w:trHeight w:val="345" w:hRule="atLeast"/>
        </w:trPr>
        <w:tc>
          <w:tcPr>
            <w:tcW w:w="0" w:type="auto"/>
            <w:vMerge w:val="restart"/>
            <w:tcBorders/>
            <w:shd w:val="clear" w:color="auto" w:fill="auto"/>
            <w:vAlign w:val="center"/>
          </w:tcPr>
          <w:p w14:paraId="794A166B">
            <w:pPr>
              <w:pStyle w:val="style0"/>
              <w:widowControl/>
              <w:jc w:val="left"/>
              <w:rPr>
                <w:rFonts w:ascii="宋体" w:cs="Arial" w:hAnsi="宋体"/>
                <w:sz w:val="24"/>
                <w:lang w:val="nl-NL"/>
              </w:rPr>
            </w:pPr>
            <w:r>
              <w:rPr>
                <w:rFonts w:ascii="宋体" w:cs="Arial" w:hAnsi="宋体" w:hint="eastAsia"/>
                <w:sz w:val="24"/>
                <w:lang w:val="nl-NL"/>
              </w:rPr>
              <w:t>主任管理工作站</w:t>
            </w:r>
          </w:p>
        </w:tc>
        <w:tc>
          <w:tcPr>
            <w:tcW w:w="0" w:type="auto"/>
            <w:tcBorders/>
            <w:shd w:val="clear" w:color="auto" w:fill="auto"/>
            <w:vAlign w:val="center"/>
          </w:tcPr>
          <w:p w14:paraId="2A4AF41E">
            <w:pPr>
              <w:pStyle w:val="style0"/>
              <w:rPr>
                <w:rFonts w:ascii="宋体" w:hAnsi="宋体"/>
                <w:sz w:val="24"/>
                <w:lang w:val="pt-BR"/>
              </w:rPr>
            </w:pPr>
            <w:r>
              <w:rPr>
                <w:rFonts w:ascii="宋体" w:hAnsi="宋体" w:hint="eastAsia"/>
                <w:sz w:val="24"/>
                <w:lang w:val="pt-BR"/>
              </w:rPr>
              <w:t>PET-CT图像融合处理软件</w:t>
            </w:r>
          </w:p>
        </w:tc>
      </w:tr>
      <w:tr w14:paraId="7E58E1DA">
        <w:tblPrEx/>
        <w:trPr>
          <w:trHeight w:val="345" w:hRule="atLeast"/>
        </w:trPr>
        <w:tc>
          <w:tcPr>
            <w:tcW w:w="0" w:type="auto"/>
            <w:vMerge w:val="continue"/>
            <w:tcBorders/>
            <w:shd w:val="clear" w:color="auto" w:fill="auto"/>
            <w:vAlign w:val="center"/>
          </w:tcPr>
          <w:p w14:paraId="198C7B75">
            <w:pPr>
              <w:pStyle w:val="style0"/>
              <w:widowControl/>
              <w:jc w:val="left"/>
              <w:rPr>
                <w:rFonts w:ascii="宋体" w:cs="Arial" w:hAnsi="宋体"/>
                <w:sz w:val="24"/>
                <w:lang w:val="nl-NL"/>
              </w:rPr>
            </w:pPr>
          </w:p>
        </w:tc>
        <w:tc>
          <w:tcPr>
            <w:tcW w:w="0" w:type="auto"/>
            <w:tcBorders/>
            <w:shd w:val="clear" w:color="auto" w:fill="auto"/>
            <w:vAlign w:val="center"/>
          </w:tcPr>
          <w:p w14:paraId="3D68F3AC">
            <w:pPr>
              <w:pStyle w:val="style0"/>
              <w:rPr>
                <w:rFonts w:ascii="宋体" w:hAnsi="宋体"/>
                <w:sz w:val="24"/>
                <w:lang w:val="pt-BR"/>
              </w:rPr>
            </w:pPr>
            <w:r>
              <w:rPr>
                <w:rFonts w:ascii="宋体" w:hAnsi="宋体" w:hint="eastAsia"/>
                <w:sz w:val="24"/>
                <w:lang w:val="pt-BR"/>
              </w:rPr>
              <w:t>异机配准与融合处理软件</w:t>
            </w:r>
          </w:p>
        </w:tc>
      </w:tr>
      <w:tr w14:paraId="5F4B994A">
        <w:tblPrEx/>
        <w:trPr>
          <w:trHeight w:val="345" w:hRule="atLeast"/>
        </w:trPr>
        <w:tc>
          <w:tcPr>
            <w:tcW w:w="0" w:type="auto"/>
            <w:vMerge w:val="continue"/>
            <w:tcBorders/>
            <w:shd w:val="clear" w:color="auto" w:fill="auto"/>
            <w:vAlign w:val="center"/>
          </w:tcPr>
          <w:p w14:paraId="32DD5644">
            <w:pPr>
              <w:pStyle w:val="style0"/>
              <w:widowControl/>
              <w:jc w:val="left"/>
              <w:rPr>
                <w:rFonts w:ascii="宋体" w:cs="Arial" w:hAnsi="宋体"/>
                <w:sz w:val="24"/>
                <w:lang w:val="nl-NL"/>
              </w:rPr>
            </w:pPr>
          </w:p>
        </w:tc>
        <w:tc>
          <w:tcPr>
            <w:tcW w:w="0" w:type="auto"/>
            <w:tcBorders/>
            <w:shd w:val="clear" w:color="auto" w:fill="auto"/>
            <w:vAlign w:val="center"/>
          </w:tcPr>
          <w:p w14:paraId="70434218">
            <w:pPr>
              <w:pStyle w:val="style0"/>
              <w:rPr>
                <w:rFonts w:ascii="宋体" w:hAnsi="宋体"/>
                <w:sz w:val="24"/>
                <w:lang w:val="pt-BR"/>
              </w:rPr>
            </w:pPr>
            <w:r>
              <w:rPr>
                <w:rFonts w:ascii="宋体" w:hAnsi="宋体" w:hint="eastAsia"/>
                <w:sz w:val="24"/>
                <w:lang w:val="pt-BR"/>
              </w:rPr>
              <w:t>PET-CT报告输出与审核软件</w:t>
            </w:r>
          </w:p>
        </w:tc>
      </w:tr>
      <w:tr w14:paraId="7E4A1B71">
        <w:tblPrEx/>
        <w:trPr>
          <w:trHeight w:val="345" w:hRule="atLeast"/>
        </w:trPr>
        <w:tc>
          <w:tcPr>
            <w:tcW w:w="0" w:type="auto"/>
            <w:vMerge w:val="continue"/>
            <w:tcBorders/>
            <w:shd w:val="clear" w:color="auto" w:fill="auto"/>
            <w:vAlign w:val="center"/>
          </w:tcPr>
          <w:p w14:paraId="72448E69">
            <w:pPr>
              <w:pStyle w:val="style0"/>
              <w:widowControl/>
              <w:jc w:val="left"/>
              <w:rPr>
                <w:rFonts w:ascii="宋体" w:cs="Arial" w:hAnsi="宋体"/>
                <w:sz w:val="24"/>
                <w:lang w:val="nl-NL"/>
              </w:rPr>
            </w:pPr>
          </w:p>
        </w:tc>
        <w:tc>
          <w:tcPr>
            <w:tcW w:w="0" w:type="auto"/>
            <w:tcBorders/>
            <w:shd w:val="clear" w:color="auto" w:fill="auto"/>
            <w:vAlign w:val="center"/>
          </w:tcPr>
          <w:p w14:paraId="4B184CE0">
            <w:pPr>
              <w:pStyle w:val="style0"/>
              <w:rPr>
                <w:rFonts w:ascii="宋体" w:hAnsi="宋体"/>
                <w:sz w:val="24"/>
                <w:lang w:val="pt-BR"/>
              </w:rPr>
            </w:pPr>
            <w:r>
              <w:rPr>
                <w:rFonts w:ascii="宋体" w:hAnsi="宋体" w:hint="eastAsia"/>
                <w:sz w:val="24"/>
                <w:lang w:val="pt-BR"/>
              </w:rPr>
              <w:t>专业查询统计软件</w:t>
            </w:r>
          </w:p>
        </w:tc>
      </w:tr>
      <w:tr w14:paraId="2413EE80">
        <w:tblPrEx/>
        <w:trPr>
          <w:trHeight w:val="345" w:hRule="atLeast"/>
        </w:trPr>
        <w:tc>
          <w:tcPr>
            <w:tcW w:w="0" w:type="auto"/>
            <w:vMerge w:val="continue"/>
            <w:tcBorders/>
            <w:shd w:val="clear" w:color="auto" w:fill="auto"/>
            <w:vAlign w:val="center"/>
          </w:tcPr>
          <w:p w14:paraId="7C0BB7BB">
            <w:pPr>
              <w:pStyle w:val="style0"/>
              <w:widowControl/>
              <w:jc w:val="left"/>
              <w:rPr>
                <w:rFonts w:ascii="宋体" w:cs="Arial" w:hAnsi="宋体"/>
                <w:sz w:val="24"/>
                <w:lang w:val="nl-NL"/>
              </w:rPr>
            </w:pPr>
          </w:p>
        </w:tc>
        <w:tc>
          <w:tcPr>
            <w:tcW w:w="0" w:type="auto"/>
            <w:tcBorders/>
            <w:shd w:val="clear" w:color="auto" w:fill="auto"/>
            <w:vAlign w:val="center"/>
          </w:tcPr>
          <w:p w14:paraId="68948089">
            <w:pPr>
              <w:pStyle w:val="style0"/>
              <w:rPr>
                <w:rFonts w:ascii="宋体" w:hAnsi="宋体"/>
                <w:sz w:val="24"/>
                <w:lang w:val="pt-BR"/>
              </w:rPr>
            </w:pPr>
            <w:r>
              <w:rPr>
                <w:rFonts w:ascii="宋体" w:hAnsi="宋体" w:hint="eastAsia"/>
                <w:sz w:val="24"/>
                <w:lang w:val="pt-BR"/>
              </w:rPr>
              <w:t>MEMRS权限管理服务软件</w:t>
            </w:r>
          </w:p>
        </w:tc>
      </w:tr>
      <w:tr w14:paraId="0DAC6687">
        <w:tblPrEx/>
        <w:trPr>
          <w:trHeight w:val="345" w:hRule="atLeast"/>
        </w:trPr>
        <w:tc>
          <w:tcPr>
            <w:tcW w:w="0" w:type="auto"/>
            <w:tcBorders/>
            <w:shd w:val="clear" w:color="auto" w:fill="auto"/>
            <w:vAlign w:val="center"/>
          </w:tcPr>
          <w:p w14:paraId="2BB1591A">
            <w:pPr>
              <w:pStyle w:val="style0"/>
              <w:widowControl/>
              <w:jc w:val="left"/>
              <w:rPr>
                <w:rFonts w:ascii="宋体" w:cs="Arial" w:hAnsi="宋体"/>
                <w:sz w:val="24"/>
                <w:lang w:val="nl-NL"/>
              </w:rPr>
            </w:pPr>
            <w:r>
              <w:rPr>
                <w:rFonts w:ascii="宋体" w:cs="Arial" w:hAnsi="宋体" w:hint="eastAsia"/>
                <w:sz w:val="24"/>
                <w:lang w:val="nl-NL"/>
              </w:rPr>
              <w:t>核医学治疗效果评估系统</w:t>
            </w:r>
          </w:p>
        </w:tc>
        <w:tc>
          <w:tcPr>
            <w:tcW w:w="0" w:type="auto"/>
            <w:tcBorders/>
            <w:shd w:val="clear" w:color="auto" w:fill="auto"/>
            <w:vAlign w:val="center"/>
          </w:tcPr>
          <w:p w14:paraId="4DB4018D">
            <w:pPr>
              <w:pStyle w:val="style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结合临床提供量化检查报告，全身病灶数字结构化显示</w:t>
            </w:r>
          </w:p>
        </w:tc>
      </w:tr>
      <w:tr w14:paraId="110FEB0D">
        <w:tblPrEx/>
        <w:trPr>
          <w:trHeight w:val="345" w:hRule="atLeast"/>
        </w:trPr>
        <w:tc>
          <w:tcPr>
            <w:tcW w:w="0" w:type="auto"/>
            <w:tcBorders/>
            <w:shd w:val="clear" w:color="auto" w:fill="auto"/>
            <w:vAlign w:val="center"/>
          </w:tcPr>
          <w:p w14:paraId="29E5F687">
            <w:pPr>
              <w:pStyle w:val="style0"/>
              <w:widowControl/>
              <w:jc w:val="left"/>
              <w:rPr>
                <w:rFonts w:ascii="宋体" w:cs="Arial" w:hAnsi="宋体"/>
                <w:sz w:val="24"/>
                <w:lang w:val="nl-NL"/>
              </w:rPr>
            </w:pPr>
            <w:r>
              <w:rPr>
                <w:rFonts w:ascii="宋体" w:cs="Arial" w:hAnsi="宋体" w:hint="eastAsia"/>
                <w:sz w:val="24"/>
                <w:lang w:val="nl-NL"/>
              </w:rPr>
              <w:t>纸张数字化系统</w:t>
            </w:r>
          </w:p>
        </w:tc>
        <w:tc>
          <w:tcPr>
            <w:tcW w:w="0" w:type="auto"/>
            <w:tcBorders/>
            <w:shd w:val="clear" w:color="auto" w:fill="auto"/>
            <w:vAlign w:val="center"/>
          </w:tcPr>
          <w:p w14:paraId="762F5655">
            <w:pPr>
              <w:pStyle w:val="style0"/>
              <w:rPr>
                <w:rFonts w:ascii="宋体" w:hAnsi="宋体"/>
                <w:sz w:val="24"/>
                <w:lang w:val="pt-BR"/>
              </w:rPr>
            </w:pPr>
            <w:r>
              <w:rPr>
                <w:rFonts w:ascii="宋体" w:hAnsi="宋体" w:hint="eastAsia"/>
                <w:sz w:val="24"/>
                <w:lang w:val="pt-BR"/>
              </w:rPr>
              <w:t>纸张数字化软件</w:t>
            </w:r>
          </w:p>
        </w:tc>
      </w:tr>
      <w:tr w14:paraId="426FE982">
        <w:tblPrEx/>
        <w:trPr>
          <w:trHeight w:val="345" w:hRule="atLeast"/>
        </w:trPr>
        <w:tc>
          <w:tcPr>
            <w:tcW w:w="0" w:type="auto"/>
            <w:tcBorders/>
            <w:shd w:val="clear" w:color="auto" w:fill="auto"/>
            <w:vAlign w:val="center"/>
          </w:tcPr>
          <w:p w14:paraId="2AB9020E">
            <w:pPr>
              <w:pStyle w:val="style0"/>
              <w:widowControl/>
              <w:jc w:val="left"/>
              <w:rPr>
                <w:rFonts w:ascii="宋体" w:cs="Arial" w:hAnsi="宋体"/>
                <w:sz w:val="24"/>
                <w:lang w:val="nl-NL"/>
              </w:rPr>
            </w:pPr>
            <w:r>
              <w:rPr>
                <w:rFonts w:ascii="宋体" w:cs="Arial" w:hAnsi="宋体" w:hint="eastAsia"/>
                <w:sz w:val="24"/>
                <w:lang w:val="nl-NL"/>
              </w:rPr>
              <w:t>胶片数字化系统</w:t>
            </w:r>
          </w:p>
        </w:tc>
        <w:tc>
          <w:tcPr>
            <w:tcW w:w="0" w:type="auto"/>
            <w:tcBorders/>
            <w:shd w:val="clear" w:color="auto" w:fill="auto"/>
            <w:vAlign w:val="center"/>
          </w:tcPr>
          <w:p w14:paraId="16908CA2">
            <w:pPr>
              <w:pStyle w:val="style0"/>
              <w:rPr>
                <w:rFonts w:ascii="宋体" w:hAnsi="宋体"/>
                <w:sz w:val="24"/>
                <w:lang w:val="pt-BR"/>
              </w:rPr>
            </w:pPr>
            <w:r>
              <w:rPr>
                <w:rFonts w:ascii="宋体" w:hAnsi="宋体" w:hint="eastAsia"/>
                <w:sz w:val="24"/>
                <w:lang w:val="pt-BR"/>
              </w:rPr>
              <w:t>胶片数字化扫描与入库管理软件</w:t>
            </w:r>
          </w:p>
        </w:tc>
      </w:tr>
    </w:tbl>
    <w:p w14:paraId="2DFA2ABC">
      <w:pPr>
        <w:pStyle w:val="style0"/>
        <w:rPr>
          <w:rFonts w:hint="eastAsia"/>
        </w:rPr>
      </w:pPr>
    </w:p>
    <w:p w14:paraId="3D8CE929"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7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6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002030204"/>
    <w:charset w:val="00"/>
    <w:family w:val="swiss"/>
    <w:pitch w:val="default"/>
    <w:sig w:usb0="00000000" w:usb1="00000000" w:usb2="00000001" w:usb3="00000000" w:csb0="0000019F" w:csb1="00000000"/>
  </w:font>
  <w:font w:name="汉仪书宋二KW">
    <w:altName w:val="汉仪书宋二KW"/>
    <w:panose1 w:val="00020600040001010101"/>
    <w:charset w:val="86"/>
    <w:family w:val="auto"/>
    <w:pitch w:val="default"/>
    <w:sig w:usb0="A00002BF" w:usb1="18EF7CFA" w:usb2="00000016" w:usb3="00000000" w:csb0="00040000" w:csb1="00000000"/>
  </w:font>
  <w:font w:name="Helvetica Neue">
    <w:altName w:val="Helvetica Neue"/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altName w:val="汉仪中黑KW"/>
    <w:panose1 w:val="00020600040001010101"/>
    <w:charset w:val="86"/>
    <w:family w:val="auto"/>
    <w:pitch w:val="default"/>
    <w:sig w:usb0="A00002BF" w:usb1="18EF7CFA" w:usb2="00000016" w:usb3="00000000" w:csb0="00040000" w:csb1="00000000"/>
  </w:font>
  <w:font w:name="Kingsoft Sign">
    <w:altName w:val="Kingsoft Sign"/>
    <w:panose1 w:val="05050102010007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724CF640">
    <w:pPr>
      <w:pStyle w:val="style32"/>
      <w:rPr/>
    </w:pPr>
    <w:r>
      <w:rPr/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6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828800" cy="1828800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 w14:paraId="689BEADE">
                          <w:pPr>
                            <w:pStyle w:val="style32"/>
                            <w:rPr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vert="horz" anchor="t" wrap="non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0.0pt;width:144.0pt;height:144.0pt;z-index:2;mso-position-horizontal:center;mso-position-horizontal-relative:margin;mso-position-vertical-relative:text;mso-width-relative:page;mso-height-relative:page;mso-wrap-distance-left:0.0pt;mso-wrap-distance-right:0.0pt;visibility:visible;mso-wrap-style:none;">
              <v:stroke on="f" weight="0.5pt"/>
              <v:fill/>
              <v:textbox inset="0.0pt,0.0pt,0.0pt,0.0pt" style="mso-fit-shape-to-text:true;">
                <w:txbxContent>
                  <w:p w14:paraId="689BEADE">
                    <w:pPr>
                      <w:pStyle w:val="style32"/>
                      <w:rPr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4CD07974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keepNext/>
      <w:spacing w:lineRule="auto" w:line="360"/>
      <w:jc w:val="center"/>
      <w:outlineLvl w:val="0"/>
    </w:pPr>
    <w:rPr>
      <w:b/>
      <w:bCs/>
      <w:sz w:val="28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66">
    <w:name w:val="Body Text"/>
    <w:basedOn w:val="style0"/>
    <w:next w:val="style66"/>
    <w:qFormat/>
    <w:uiPriority w:val="0"/>
    <w:pPr>
      <w:spacing w:after="120"/>
    </w:pPr>
    <w:rPr/>
  </w:style>
  <w:style w:type="paragraph" w:styleId="style32">
    <w:name w:val="footer"/>
    <w:basedOn w:val="style0"/>
    <w:next w:val="style32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qFormat/>
    <w:uiPriority w:val="0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table" w:styleId="style154">
    <w:name w:val="Table Grid"/>
    <w:basedOn w:val="style105"/>
    <w:next w:val="style154"/>
    <w:qFormat/>
    <w:uiPriority w:val="0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customStyle="1" w:styleId="style4097">
    <w:name w:val="目录 61"/>
    <w:next w:val="style0"/>
    <w:qFormat/>
    <w:uiPriority w:val="0"/>
    <w:pPr>
      <w:wordWrap w:val="false"/>
      <w:ind w:left="2125"/>
      <w:jc w:val="both"/>
    </w:pPr>
    <w:rPr>
      <w:rFonts w:ascii="Times New Roman" w:cs="Times New Roman" w:eastAsia="宋体" w:hAnsi="Times New Roman"/>
      <w:sz w:val="21"/>
      <w:lang w:val="en-US" w:bidi="ar-SA"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2112</Words>
  <Pages>3</Pages>
  <Characters>2215</Characters>
  <Application>WPS Office</Application>
  <DocSecurity>0</DocSecurity>
  <Paragraphs>188</Paragraphs>
  <ScaleCrop>false</ScaleCrop>
  <LinksUpToDate>false</LinksUpToDate>
  <CharactersWithSpaces>2226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2026-09-09T02:31:30Z</dcterms:created>
  <dc:creator>bater</dc:creator>
  <lastModifiedBy>2304FPN6DC</lastModifiedBy>
  <dcterms:modified xsi:type="dcterms:W3CDTF">2026-09-09T02:49:21Z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2052-6.13.2.8918</vt:lpwstr>
  </property>
  <property fmtid="{D5CDD505-2E9C-101B-9397-08002B2CF9AE}" pid="3" name="KSOTemplateDocerSaveRecord">
    <vt:lpwstr>eyJoZGlkIjoiN2RlZGZiNTIzZGMzMTA5NThjOGI4Zjg1NWE1MzgzNzgiLCJ1c2VySWQiOiI2NjM1NTE0OTMifQ==</vt:lpwstr>
  </property>
  <property fmtid="{D5CDD505-2E9C-101B-9397-08002B2CF9AE}" pid="4" name="ICV">
    <vt:lpwstr>1BAD19B7E7B2D4D1E903C767342F374C_43</vt:lpwstr>
  </property>
</Properties>
</file>