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天津医科大学第二医院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天津医科大学第二医院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一）贯彻落实国家和天津市关于卫生健康方面的法律法规、政策、规划和标准，完成市委、市政府、市教委、市卫健委及医科大学等上级部门部署的医疗任务。组织实施医疗、预防、保健等卫生服务，为改善民生、提高公民健康水平，发挥公立医院的社会公益性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（二）贯彻落实医药卫生体制改革政策，秉承“正念同心，精益求精”的核心价值观，坚持以健康为中心、以患者为中心，优化就医流程，进一步提升诊疗服务水平，构建和谐医患关系。</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（三）统筹规划医院资源配置，根据医院服务功能定位，编制和实施医院发展规划，建立科学的医院管理体系和医疗质量管理与持续改进机制，不断提高医疗质量与服务水平。</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（四）以人才队伍建设，引领事业发展，建立科学的医学人才梯队，培养高层次医学人才。高质量完成各专业各层次的教学任务，发挥教学医院的实训作用。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（五）积极开展临床科学研究，提升科研孵育能力，推进科技创新，助力科研成果的实际转化与应用。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（六）积极承担社会突发公共卫生事件中医疗救治责任，建立重症创伤等生命急救绿色通道，组建技术力量雄厚的应急救援预备队伍，实施规范、快速、有效的应急响应机制。</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（七）负责各个类别的医疗保健工作，负责天津市重要会议与重大活动的医疗卫生保障工作。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（八）充分发挥三级医院优质医疗资源的“头雁”作用，大力推进对口帮扶工作，外派医务人员参加援甘、援疆、援藏、援外工作，完成京津冀协同发展中医疗帮建、帮带任务，加强与基层医院的医疗技术合作。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（九）推进医院管理的创新与发展，按照“互联网+医疗健康”模式，加快医院信息化建设，扩大对外合作与交流，为新时代天津高质量发展发挥作用</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天津医科大学第二医院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单位本级（内设26个职能科室）。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天津医科大学第二医院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68443200.00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591330000.00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1980599463.93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2210730287.09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23743947.99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500000000.00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8118200.00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2664116611.92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2719248487.09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67556884.59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448217167.78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460642177.20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448217167.78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3179890664.29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3179890664.29</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天津医科大学第二医院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2664116611.92</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659773200.00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1980599463.93</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23743947.99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2155598411.92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151255000.00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1980599463.93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23743947.99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2060703411.92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56360000.00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1980599463.93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23743947.99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2060703411.92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56360000.00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1980599463.93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23743947.99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2820000.00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2820000.00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1870000.00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1870000.00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突发公共卫生事件应急处置</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7075000.00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7075000.00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4791000.00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4791000.00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2284000.00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2284000.00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2109801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其他政府性基金及对应专项债务收入安排的支出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8118200.00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8118200.00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1788200.00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1788200.00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1788200.00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1788200.00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地方政府专项债务付息支出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6330000.00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6330000.00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2320498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6330000.00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6330000.00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天津医科大学第二医院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3179890664.29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2664116611.92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68443200.00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591330000.00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1980599463.93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23743947.99</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330224</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天津医科大学第二医院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3179890664.29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2664116611.92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68443200.00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591330000.00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1980599463.93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23743947.99</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天津医科大学第二医院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515774052.37</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515774052.37</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515774052.37</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330224</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天津医科大学第二医院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515774052.37</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515774052.37</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515774052.37</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天津医科大学第二医院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2719248487.09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2068939471.39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650309015.70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引进人才费用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2210730287.09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2068939471.39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141790815.70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2115835287.09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2061864471.39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53970815.70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综合医院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2115835287.09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2061864471.39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53970815.70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公共卫生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2820000.00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2820000.00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基本公共卫生服务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1870000.00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1870000.00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重大公共卫生服务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661000.00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突发公共卫生事件应急处置</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289000.00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7075000.00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7075000.00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4791000.00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4791000.00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超长期特别国债安排的支出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2109801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其他政府性基金及对应专项债务收入安排的支出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其他地方自行试点项目收益专项债券收入安排的支出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8118200.00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8118200.00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地方政府专项债务付息支出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6330000.00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6330000.00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2320498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其他地方自行试点项目收益专项债券付息支出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6330000.00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6330000.00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天津医科大学第二医院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68443200.00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591330000.00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151255000.00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66255000.00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85000000.00</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500000000.00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500000000.00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8118200.00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1788200.00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6330000.00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659773200.00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659773200.00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68443200.00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591330000.00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659773200.00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659773200.00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68443200.00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591330000.00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天津医科大学第二医院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68443200.00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52821000.00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51478000.00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1343000.00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15622200.00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引进人才费用</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66255000.00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52821000.00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51478000.00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1343000.00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13434000.00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56360000.00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45746000.00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44403000.00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1343000.00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10614000.00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综合医院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56360000.00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45746000.00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44403000.00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1343000.00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10614000.00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公共卫生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2820000.00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2820000.00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基本公共卫生服务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1870000.00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重大公共卫生服务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661000.00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突发公共卫生事件应急处置</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289000.00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4791000.00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4791000.00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4791000.00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1788200.00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天津医科大学第二医院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46687000.00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1343000.00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33612000.00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6000000.00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6818000.00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1343000.00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4791000.00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4791000.00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51478000.00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1343000.00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天津医科大学第二医院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591330000.00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591330000.00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591330000.00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超长期特别国债安排的支出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2109801</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其他政府性基金及对应专项债务收入安排的支出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2290402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其他地方自行试点项目收益专项债券收入安排的支出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地方政府专项债务付息支出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其他地方自行试点项目收益专项债券付息支出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天津医科大学第二医院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天津医科大学第二医院2025年度国有资本经营预算财政拨款收入支出决算表为空表。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天津医科大学第二医院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天津医科大学第二医院2025年财政拨款“三公”经费支出决算表为空表。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天津医科大学第二医院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650309015.70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15622200.00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591330000.00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43356815.70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141790815.70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13434000.00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43356815.70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53970815.70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10614000.00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43356815.70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53970815.70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10614000.00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43356815.70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质控经费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儿科医师队伍建设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专科学科能力建设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对口支援帮扶</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780000.00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780000.00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检查及救治设施设备配置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公立医院综合改革补助</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临床重点专科建设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传染病监测预警与应急指挥能力提升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患者救治费用</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科研项目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15345011.71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15345011.71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教学项目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1265714.76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1265714.76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停车楼项目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5374526.81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5374526.81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三期工程建设项目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6820244.00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6820244.00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现状高压变配电改造工程</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14551318.42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14551318.42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职业病防治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细菌性传染病监测</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重点呼吸道传染病监测</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新冠变异监测-本土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脑卒中筛查</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突发公共卫生事件应急处置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新冠患者救治费用</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其他政府性基金及对应专项债务收入安排的支出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三期工程专项债支出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8118200.00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1788200.00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1788200.00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1788200.00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1788200.00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1788200.00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一般债付息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1502300.00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1502300.00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285900.00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285900.00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地方政府专项债务付息支出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三期工程专项债券付息支出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天津医科大学第二医院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3,179,890,664.29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增加495,838,357.75元，增长18.47%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本年度我院三期工程建设项目财政专项经费收支增加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一般公共预算财政拨款收入68,443,200.00元、政府性基金预算财政拨款收入591,330,000.00元、事业收入1,980,599,463.93元、其他收入23,743,947.99元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社会保障和就业支出400,000.00元、卫生健康支出2,210,730,287.09元、其他支出500,000,000.00元、债务付息支出8,118,200.00元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天津医科大学第二医院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2,664,116,611.92</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增加409,481,340.08元，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我院三期工程财政拨款收入增幅较大，导致收入增幅较大</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一般公共预算财政拨款收入68,443,200.00元，占2.57%；政府性基金预算财政拨款收入591,330,000.00元，占22.20%；事业收入1,980,599,463.93元，占74.34%；其他收入23,743,947.99元，占0.89%</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天津医科大学第二医院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2,719,248,487.09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增加483,413,348.33元，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我院三期工程项目支出增幅大，导致支出增幅较大</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基本支出2,068,939,471.39元，占76.08%；项目支出650,309,015.70元，占23.92%</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天津医科大学第二医院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659,773,200.00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增加467,669,490.15元，增长243.45%，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25年我院三期工程财政专项经费收支增幅较大导致</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一般公共预算财政拨款68,443,200.00元、政府性基金预算财政拨款591,330,000.00元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社会保障和就业支出400,000.00元、卫生健康支出151,255,000.00元、其他支出500,000,000.00元、债务付息支出8,118,200.00元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天津医科大学第二医院2025年度一般公共预算财政拨款支出合计68,443,200.00元，占本年支出合计的2.52%。与2024年度相比，一般公共预算财政拨款支出</w:t>
      </w:r>
      <w:r>
        <w:rPr>
          <w:rFonts w:eastAsia="仿宋_GB2312" w:hint="eastAsia"/>
          <w:sz w:val="30"/>
          <w:szCs w:val="30"/>
          <w:highlight w:val="none"/>
          <w:lang w:val="en-US" w:eastAsia="zh-CN"/>
        </w:rPr>
        <w:t xml:space="preserve">减少97,820,509.85元</w:t>
      </w:r>
      <w:r>
        <w:rPr>
          <w:rFonts w:eastAsia="仿宋_GB2312" w:hint="eastAsia"/>
          <w:sz w:val="30"/>
          <w:szCs w:val="30"/>
          <w:highlight w:val="none"/>
          <w:lang w:val="en-US" w:eastAsia="zh-CN"/>
        </w:rPr>
        <w:t xml:space="preserve">，下降58.83%</w:t>
      </w:r>
      <w:r>
        <w:rPr>
          <w:rFonts w:eastAsia="仿宋_GB2312" w:hint="eastAsia"/>
          <w:sz w:val="30"/>
          <w:szCs w:val="30"/>
          <w:highlight w:val="none"/>
          <w:lang w:val="en-US" w:eastAsia="zh-CN"/>
        </w:rPr>
        <w:t xml:space="preserve">，主要原因是财政拨款专项经费支出减少。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2025年度一般公共预算财政拨款支出68,443,200.00元，主要用于以下方面：</w:t>
      </w:r>
      <w:r>
        <w:rPr>
          <w:rFonts w:eastAsia="仿宋_GB2312" w:hint="eastAsia"/>
          <w:sz w:val="30"/>
          <w:szCs w:val="30"/>
          <w:highlight w:val="none"/>
        </w:rPr>
        <w:t xml:space="preserve">社会保障和就业支出（类）支出400,000.00元，占0.58%，卫生健康支出（类）支出66,255,000.00元，占96.81%，债务付息支出（类）支出1,788,200.00元，占2.61%</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2025年度一般公共预算财政拨款支出年初预算为68,518,200.00元，支出决算为68,443,200.00元</w:t>
      </w:r>
      <w:r>
        <w:rPr>
          <w:rFonts w:eastAsia="仿宋_GB2312" w:hint="eastAsia"/>
          <w:sz w:val="30"/>
          <w:szCs w:val="30"/>
          <w:highlight w:val="none"/>
          <w:lang w:val="en-US" w:eastAsia="zh-CN"/>
        </w:rPr>
        <w:t xml:space="preserve">，完成年初预算的99.89%</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人力资源和社会保障管理事务（款）引进人才费用（项）年初预算为400,000.00元，支出决算为400,000.00元，完成年初预算的100.00%，决算数与年初预算数持平的主要原因是：我单位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2.卫生健康支出（类）公立医院（款）综合医院（项）年初预算为56,435,000.00元，支出决算为56,360,000.00元，完成年初预算的99.87%，决算数小于年初预算数的主要原因是：我单位严格按照预算执行。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3.卫生健康支出（类）公共卫生（款）基本公共卫生服务（项）年初预算为1,870,000.00元，支出决算为1,870,000.00元，完成年初预算的100.00%，决算数与年初预算数持平的主要原因是：我单位严格按照预算执行。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4.卫生健康支出（类）公共卫生（款）重大公共卫生服务（项）年初预算为661,000.00元，支出决算为661,000.00元，完成年初预算的100.00%，决算数与年初预算数持平的主要原因是：我单位严格按照预算执行。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5.卫生健康支出（类）公共卫生（款）突发公共卫生事件应急处置（项）年初预算为289,000.00元，支出决算为289,000.00元，完成年初预算的100.00%，决算数与年初预算数持平的主要原因是：我单位严格按照预算执行。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6.卫生健康支出（类）行政事业单位医疗（款）事业单位医疗（项）年初预算为4,791,000.00元，支出决算为4,791,000.00元，完成年初预算的100.00%，决算数与年初预算数持平的主要原因是：我单位严格按照预算执行。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其他行政事业单位医疗支出（项）年初预算为2,284,000.00元，支出决算为2,284,000.00元，完成年初预算的100.00%，决算数与年初预算数持平的主要原因是：我单位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债务付息支出（类）地方政府一般债务付息支出（款）地方政府一般债券付息支出（项）年初预算为1,788,200.00元，支出决算为1,788,200.00元，完成年初预算的100.00%，决算数与年初预算数持平的主要原因是：我单位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天津医科大学第二医院2025年度一般公共预算财政拨款基本支出合计52,821,000.00元，与2024年度相比</w:t>
      </w:r>
      <w:r>
        <w:rPr>
          <w:rFonts w:eastAsia="仿宋_GB2312" w:hint="eastAsia"/>
          <w:sz w:val="30"/>
          <w:szCs w:val="30"/>
          <w:highlight w:val="none"/>
          <w:lang w:val="en-US" w:eastAsia="zh-CN"/>
        </w:rPr>
        <w:t xml:space="preserve">增加1,057,100.00元，</w:t>
      </w:r>
      <w:r>
        <w:rPr>
          <w:rFonts w:eastAsia="仿宋_GB2312" w:hint="eastAsia"/>
          <w:sz w:val="30"/>
          <w:szCs w:val="30"/>
          <w:highlight w:val="none"/>
          <w:lang w:val="en-US" w:eastAsia="zh-CN"/>
        </w:rPr>
        <w:t xml:space="preserve">主要原因是人员经费增加。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人员经费51,478,000.00元，主要包括</w:t>
      </w:r>
      <w:r>
        <w:rPr>
          <w:rFonts w:eastAsia="仿宋_GB2312" w:hint="eastAsia"/>
          <w:sz w:val="30"/>
          <w:szCs w:val="30"/>
          <w:highlight w:val="none"/>
          <w:lang w:val="en-US" w:eastAsia="zh-CN"/>
        </w:rPr>
        <w:t xml:space="preserve">机关事业单位基本养老保险缴费、职业年金缴费、职工基本医疗保险缴费、其他社会保障缴费、退休费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公用经费1,343,000.00元，主要包括</w:t>
      </w:r>
      <w:r>
        <w:rPr>
          <w:rFonts w:eastAsia="仿宋_GB2312" w:hint="eastAsia"/>
          <w:sz w:val="30"/>
          <w:szCs w:val="30"/>
          <w:highlight w:val="none"/>
          <w:lang w:val="en-US" w:eastAsia="zh-CN"/>
        </w:rPr>
        <w:t xml:space="preserve">物业管理费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天津医科大学第二医院2025年度政府性基金预算财政拨款年初结转和结余0.00元，收入591,330,000.00元，支出591,330,000.00元，年末结转和结余0.00元。与2024年度相比，政府性基金预算财政拨款支出</w:t>
      </w:r>
      <w:r>
        <w:rPr>
          <w:rFonts w:eastAsia="仿宋_GB2312" w:hint="eastAsia"/>
          <w:sz w:val="30"/>
          <w:szCs w:val="30"/>
          <w:highlight w:val="none"/>
          <w:lang w:val="en-US" w:eastAsia="zh-CN"/>
        </w:rPr>
        <w:t xml:space="preserve">增加565,490,000.00元，</w:t>
      </w:r>
      <w:r>
        <w:rPr>
          <w:rFonts w:eastAsia="仿宋_GB2312" w:hint="eastAsia"/>
          <w:sz w:val="30"/>
          <w:szCs w:val="30"/>
          <w:highlight w:val="none"/>
          <w:lang w:val="en-US" w:eastAsia="zh-CN"/>
        </w:rPr>
        <w:t xml:space="preserve">增长2,188.43%，</w:t>
      </w:r>
      <w:r>
        <w:rPr>
          <w:rFonts w:eastAsia="仿宋_GB2312" w:hint="eastAsia"/>
          <w:sz w:val="30"/>
          <w:szCs w:val="30"/>
          <w:highlight w:val="none"/>
          <w:lang w:val="en-US" w:eastAsia="zh-CN"/>
        </w:rPr>
        <w:t xml:space="preserve">主要原因是增加我院三期工程建设、设备购置等政府性基金预算财政拨款项目经费。</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2025年度政府性基金预算财政拨款支出591,330,000.00元，主要用于以下方面：</w:t>
      </w:r>
      <w:r>
        <w:rPr>
          <w:rFonts w:eastAsia="仿宋_GB2312" w:hint="eastAsia"/>
          <w:sz w:val="28"/>
          <w:szCs w:val="28"/>
          <w:highlight w:val="none"/>
        </w:rPr>
        <w:t xml:space="preserve">卫生健康支出（类）支出85,000,000.00元，占14.37%，其他支出（类）支出500,000,000.00元，占84.56%，债务付息支出（类）支出6,330,000.00元，占1.07%</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2025年度政府性基金预算财政拨款支出年初预算为6,330,000.00元，支出决算为591,330,000.00元</w:t>
      </w:r>
      <w:r>
        <w:rPr>
          <w:rFonts w:eastAsia="仿宋_GB2312" w:hint="eastAsia"/>
          <w:sz w:val="30"/>
          <w:szCs w:val="30"/>
          <w:highlight w:val="none"/>
          <w:lang w:val="en-US" w:eastAsia="zh-CN"/>
        </w:rPr>
        <w:t xml:space="preserve">，完成年初预算的9,341.71%</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1.卫生健康支出（类）超长期特别国债安排的支出（款）公立医院（项）年初预算为0.00元，支出决算为85,000,000.00元，决算数大于年初预算数的主要原因是：追加设备购置等专项经费支出。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其他支出（类）其他政府性基金及对应专项债务收入安排的支出（款）其他地方自行试点项目收益专项债券收入安排的支出（项）年初预算为0.00元，支出决算为500,000,000.00元，决算数大于年初预算数的主要原因是：追加我院三期工程建设项目等专项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债务付息支出（类）地方政府专项债务付息支出（款）其他地方自行试点项目收益专项债券付息支出（项）年初预算为6,330,000.00元，支出决算为6,330,000.00元，完成年初预算的100.00%，决算数与年初预算数持平的主要原因是：我单位严格按照预算执行</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天津医科大学第二医院2025年度无国有资本经营预算财政拨款收入、支出和结转结余。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天津医科大学第二医院2025年度无机关运行经费。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第二医院2025年政府采购支出总额249,826,798.00元，其中：政府采购货物支出165,055,729.20元、政府采购工程支出18,827,678.00元、政府采购服务支出65,943,390.80元。授予中小企业合同金额116,381,277.20元，占政府采购支出总额的46.58%，其中：授予小微企业合同金额105,140,031.20元，占政府采购支出总额的42.09%；货物采购授予中小企业合同金额占货物支出金额的36.35%，工程采购授予中小企业合同金额占工程支出金额的97.60%，服务采购授予中小企业合同金额占服务支出金额的57.64%。</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截至2025年12月31日，天津医科大学第二医院共有车辆5辆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其他用车5辆</w:t>
      </w:r>
      <w:r>
        <w:rPr>
          <w:rFonts w:eastAsia="仿宋_GB2312" w:hint="eastAsia"/>
          <w:sz w:val="30"/>
          <w:szCs w:val="30"/>
          <w:highlight w:val="none"/>
          <w:lang w:val="en-US" w:eastAsia="zh-CN"/>
        </w:rPr>
        <w:t xml:space="preserve">，其他用车主要包括其他业务用车</w:t>
      </w:r>
      <w:r>
        <w:rPr>
          <w:rFonts w:eastAsia="仿宋_GB2312" w:hint="eastAsia"/>
          <w:sz w:val="30"/>
          <w:szCs w:val="30"/>
          <w:highlight w:val="none"/>
          <w:lang w:val="en-US" w:eastAsia="zh-CN"/>
        </w:rPr>
        <w:t xml:space="preserve">。单价100万元以上的设备148台（套）。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根据预算绩效管理要求，天津医科大学第二医院已对20个2025年度市级项目开展绩效自评，涉及金额1,799,057,800元，自评结果已随部门决算一并公开。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天津医科大学第二医院不属于乡、镇、街级单位，不涉及公开2025年度教育、医疗卫生、社会保障和就业、住房保障、涉农补贴等民生支出情况。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E231BB78-ACEE-48C5-9BC7-D2ADCAA90415}"/>
    <w:embedBold r:id="rId2" w:subsetted="1" w:fontKey="{0365ED0F-B83B-4917-8FA6-5B1059F953FC}"/>
  </w:font>
  <w:font w:name="Cambria">
    <w:panose1 w:val="02040503050406030204"/>
    <w:charset w:val="00"/>
    <w:family w:val="roman"/>
    <w:pitch w:val="default"/>
    <w:sig w:usb0="E00006FF" w:usb1="420024FF" w:usb2="02000000" w:usb3="00000000" w:csb0="2000019F" w:csb1="00000000"/>
    <w:embedRegular r:id="rId3" w:fontKey="{AE4D89AA-EEDE-4194-8F0B-A3E5C6ECB8E6}"/>
  </w:font>
  <w:font w:name="Calibri">
    <w:panose1 w:val="020F0502020204030204"/>
    <w:charset w:val="00"/>
    <w:family w:val="swiss"/>
    <w:pitch w:val="default"/>
    <w:sig w:usb0="E4002EFF" w:usb1="C200247B" w:usb2="00000009" w:usb3="00000000" w:csb0="200001FF" w:csb1="00000000"/>
    <w:embedRegular r:id="rId4" w:fontKey="{BD7366D7-BF9C-493F-AEC9-BEC3A1C6EED4}"/>
  </w:font>
  <w:font w:name="黑体">
    <w:panose1 w:val="02010609060101010101"/>
    <w:charset w:val="FFFFFF86"/>
    <w:family w:val="auto"/>
    <w:pitch w:val="default"/>
    <w:sig w:usb0="800002BF" w:usb1="38CF7CFA" w:usb2="00000016" w:usb3="00000000" w:csb0="00040001" w:csb1="00000000"/>
    <w:embedRegular r:id="rId5" w:subsetted="1" w:fontKey="{6F3FF550-FE7F-45B5-9B71-26C6479CBB9C}"/>
    <w:embedBold r:id="rId6" w:subsetted="1" w:fontKey="{C1D36D3E-5E73-46A2-B05E-185551221D29}"/>
  </w:font>
  <w:font w:name="方正小标宋简体">
    <w:altName w:val="黑体"/>
    <w:panose1 w:val="02000000000000000000"/>
    <w:charset w:val="FFFFFF86"/>
    <w:family w:val="auto"/>
    <w:pitch w:val="default"/>
    <w:sig w:usb0="00000001" w:usb1="08000000" w:usb2="00000000" w:usb3="00000000" w:csb0="00040000" w:csb1="00000000"/>
    <w:embedRegular r:id="rId7" w:fontKey="{0AE2617D-D753-425D-A32D-ABBBB06973FC}"/>
    <w:embedBold r:id="rId8" w:fontKey="{5E4B93C2-5C67-49EC-AFF2-B114AE88A8B0}"/>
  </w:font>
  <w:font w:name="仿宋">
    <w:panose1 w:val="02010609060101010101"/>
    <w:charset w:val="FFFFFF86"/>
    <w:family w:val="auto"/>
    <w:pitch w:val="default"/>
    <w:sig w:usb0="800002BF" w:usb1="38CF7CFA" w:usb2="00000016" w:usb3="00000000" w:csb0="00040001" w:csb1="00000000"/>
    <w:embedRegular r:id="rId9" w:subsetted="1" w:fontKey="{67D3A6CC-C663-4F65-B095-F3C512035510}"/>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5A8B2E6E-1E02-41C2-B059-B7804A631DB4}"/>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65070E1D-72EB-4ED8-9EC1-4F42BD6F2044}"/>
    <w:embedBold r:id="rId12" w:subsetted="1" w:fontKey="{6DC10B05-0408-4064-AAD8-46627B0CA0B5}"/>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9</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38</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