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003DD">
      <w:pPr>
        <w:pStyle w:val="2"/>
        <w:rPr>
          <w:rFonts w:ascii="宋体" w:hAnsi="宋体"/>
          <w:sz w:val="24"/>
          <w:szCs w:val="24"/>
        </w:rPr>
      </w:pPr>
    </w:p>
    <w:p w14:paraId="389E4FA0">
      <w:pPr>
        <w:pStyle w:val="13"/>
        <w:spacing w:line="360" w:lineRule="auto"/>
        <w:ind w:left="420"/>
        <w:jc w:val="center"/>
        <w:rPr>
          <w:rFonts w:ascii="宋体" w:hAnsi="宋体" w:eastAsia="宋体" w:cs="宋体"/>
          <w:b/>
          <w:color w:val="auto"/>
          <w:sz w:val="32"/>
          <w:szCs w:val="32"/>
        </w:rPr>
      </w:pPr>
      <w:r>
        <w:rPr>
          <w:rFonts w:hint="eastAsia" w:ascii="宋体" w:hAnsi="宋体" w:eastAsia="宋体" w:cs="宋体"/>
          <w:b/>
          <w:color w:val="auto"/>
          <w:sz w:val="32"/>
          <w:szCs w:val="32"/>
        </w:rPr>
        <w:t>项目需求书</w:t>
      </w:r>
    </w:p>
    <w:p w14:paraId="32E699C3">
      <w:pPr>
        <w:pStyle w:val="2"/>
        <w:rPr>
          <w:rFonts w:ascii="宋体" w:hAnsi="宋体"/>
          <w:sz w:val="24"/>
          <w:szCs w:val="24"/>
        </w:rPr>
      </w:pPr>
    </w:p>
    <w:p w14:paraId="65D3AACC">
      <w:pPr>
        <w:spacing w:before="156" w:beforeLines="50" w:after="156" w:afterLines="50" w:line="360" w:lineRule="auto"/>
        <w:rPr>
          <w:rFonts w:ascii="宋体" w:hAnsi="宋体" w:cs="宋体"/>
          <w:b/>
          <w:bCs/>
          <w:sz w:val="28"/>
          <w:szCs w:val="28"/>
        </w:rPr>
      </w:pPr>
      <w:r>
        <w:rPr>
          <w:rFonts w:hint="eastAsia" w:ascii="宋体" w:hAnsi="宋体" w:cs="宋体"/>
          <w:b/>
          <w:bCs/>
          <w:sz w:val="28"/>
          <w:szCs w:val="28"/>
        </w:rPr>
        <w:t>一、项目背景</w:t>
      </w:r>
    </w:p>
    <w:p w14:paraId="393DDEB7">
      <w:pPr>
        <w:spacing w:line="360" w:lineRule="auto"/>
        <w:ind w:firstLine="480" w:firstLineChars="200"/>
        <w:rPr>
          <w:rFonts w:ascii="宋体" w:hAnsi="宋体"/>
          <w:sz w:val="24"/>
          <w:szCs w:val="24"/>
        </w:rPr>
      </w:pPr>
      <w:r>
        <w:rPr>
          <w:rFonts w:hint="eastAsia" w:ascii="宋体" w:hAnsi="宋体"/>
          <w:sz w:val="24"/>
          <w:szCs w:val="24"/>
        </w:rPr>
        <w:t>本项目是按照我院信息中心应用系统运维保障工作实际需要，以保障系统运行稳定，支撑全院实际医疗业务为目标，采购包含设备巡检维护、故障应急处理、硬件维修及软件安装调试等全项运维保障服务。该项运维工作共设计各类硬件设备及系统。</w:t>
      </w:r>
    </w:p>
    <w:p w14:paraId="2E1F10A4">
      <w:pPr>
        <w:rPr>
          <w:rFonts w:ascii="宋体" w:hAnsi="宋体"/>
          <w:sz w:val="24"/>
          <w:szCs w:val="24"/>
        </w:rPr>
      </w:pPr>
    </w:p>
    <w:p w14:paraId="4823DC86">
      <w:pPr>
        <w:spacing w:before="156" w:beforeLines="50" w:after="156" w:afterLines="50" w:line="360" w:lineRule="auto"/>
        <w:rPr>
          <w:rFonts w:ascii="宋体" w:hAnsi="宋体" w:cs="宋体"/>
          <w:b/>
          <w:bCs/>
          <w:sz w:val="28"/>
          <w:szCs w:val="28"/>
        </w:rPr>
      </w:pPr>
      <w:r>
        <w:rPr>
          <w:rFonts w:hint="eastAsia" w:ascii="宋体" w:hAnsi="宋体" w:cs="宋体"/>
          <w:b/>
          <w:bCs/>
          <w:sz w:val="28"/>
          <w:szCs w:val="28"/>
        </w:rPr>
        <w:t>二、服务要求</w:t>
      </w:r>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123"/>
        <w:gridCol w:w="6067"/>
        <w:gridCol w:w="1275"/>
      </w:tblGrid>
      <w:tr w14:paraId="0C9A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shd w:val="clear" w:color="auto" w:fill="808080"/>
            <w:vAlign w:val="center"/>
          </w:tcPr>
          <w:p w14:paraId="193D871A">
            <w:pPr>
              <w:spacing w:line="360" w:lineRule="auto"/>
              <w:jc w:val="center"/>
              <w:rPr>
                <w:rFonts w:ascii="宋体" w:hAnsi="宋体"/>
                <w:b/>
                <w:sz w:val="24"/>
                <w:szCs w:val="24"/>
              </w:rPr>
            </w:pPr>
            <w:r>
              <w:rPr>
                <w:rFonts w:hint="eastAsia" w:ascii="宋体" w:hAnsi="宋体"/>
                <w:b/>
                <w:sz w:val="24"/>
                <w:szCs w:val="24"/>
              </w:rPr>
              <w:t>序号</w:t>
            </w:r>
          </w:p>
        </w:tc>
        <w:tc>
          <w:tcPr>
            <w:tcW w:w="1123" w:type="dxa"/>
            <w:shd w:val="clear" w:color="auto" w:fill="808080"/>
            <w:vAlign w:val="center"/>
          </w:tcPr>
          <w:p w14:paraId="4031BF31">
            <w:pPr>
              <w:spacing w:line="360" w:lineRule="auto"/>
              <w:jc w:val="center"/>
              <w:rPr>
                <w:rFonts w:ascii="宋体" w:hAnsi="宋体"/>
                <w:b/>
                <w:sz w:val="24"/>
                <w:szCs w:val="24"/>
              </w:rPr>
            </w:pPr>
            <w:r>
              <w:rPr>
                <w:rFonts w:hint="eastAsia" w:ascii="宋体" w:hAnsi="宋体"/>
                <w:b/>
                <w:sz w:val="24"/>
                <w:szCs w:val="24"/>
              </w:rPr>
              <w:t>指标项</w:t>
            </w:r>
          </w:p>
        </w:tc>
        <w:tc>
          <w:tcPr>
            <w:tcW w:w="6067" w:type="dxa"/>
            <w:shd w:val="clear" w:color="auto" w:fill="808080"/>
            <w:vAlign w:val="center"/>
          </w:tcPr>
          <w:p w14:paraId="4E49C34C">
            <w:pPr>
              <w:spacing w:line="360" w:lineRule="auto"/>
              <w:jc w:val="center"/>
              <w:rPr>
                <w:rFonts w:ascii="宋体" w:hAnsi="宋体"/>
                <w:b/>
                <w:sz w:val="24"/>
                <w:szCs w:val="24"/>
              </w:rPr>
            </w:pPr>
            <w:r>
              <w:rPr>
                <w:rFonts w:hint="eastAsia" w:ascii="宋体" w:hAnsi="宋体"/>
                <w:b/>
                <w:sz w:val="24"/>
                <w:szCs w:val="24"/>
              </w:rPr>
              <w:t>指标要求</w:t>
            </w:r>
          </w:p>
        </w:tc>
        <w:tc>
          <w:tcPr>
            <w:tcW w:w="1275" w:type="dxa"/>
            <w:shd w:val="clear" w:color="auto" w:fill="808080"/>
            <w:vAlign w:val="center"/>
          </w:tcPr>
          <w:p w14:paraId="2D7307F8">
            <w:pPr>
              <w:spacing w:line="360" w:lineRule="auto"/>
              <w:jc w:val="center"/>
              <w:rPr>
                <w:rFonts w:ascii="宋体" w:hAnsi="宋体"/>
                <w:b/>
                <w:sz w:val="24"/>
                <w:szCs w:val="24"/>
              </w:rPr>
            </w:pPr>
            <w:r>
              <w:rPr>
                <w:rFonts w:hint="eastAsia" w:ascii="宋体" w:hAnsi="宋体"/>
                <w:b/>
                <w:sz w:val="24"/>
                <w:szCs w:val="24"/>
              </w:rPr>
              <w:t>说明</w:t>
            </w:r>
          </w:p>
        </w:tc>
      </w:tr>
      <w:tr w14:paraId="184A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restart"/>
            <w:vAlign w:val="center"/>
          </w:tcPr>
          <w:p w14:paraId="35FC8286">
            <w:pPr>
              <w:spacing w:line="360" w:lineRule="auto"/>
              <w:rPr>
                <w:rFonts w:ascii="宋体" w:hAnsi="宋体"/>
                <w:sz w:val="24"/>
                <w:szCs w:val="24"/>
              </w:rPr>
            </w:pPr>
            <w:r>
              <w:rPr>
                <w:rFonts w:hint="eastAsia" w:ascii="宋体" w:hAnsi="宋体"/>
                <w:sz w:val="24"/>
                <w:szCs w:val="24"/>
              </w:rPr>
              <w:t>1</w:t>
            </w:r>
          </w:p>
        </w:tc>
        <w:tc>
          <w:tcPr>
            <w:tcW w:w="1123" w:type="dxa"/>
            <w:vMerge w:val="restart"/>
            <w:vAlign w:val="center"/>
          </w:tcPr>
          <w:p w14:paraId="20C9AE5F">
            <w:pPr>
              <w:spacing w:line="360" w:lineRule="auto"/>
              <w:jc w:val="center"/>
              <w:rPr>
                <w:rFonts w:ascii="宋体" w:hAnsi="宋体"/>
                <w:sz w:val="24"/>
                <w:szCs w:val="24"/>
              </w:rPr>
            </w:pPr>
            <w:r>
              <w:rPr>
                <w:rFonts w:hint="eastAsia" w:ascii="宋体" w:hAnsi="宋体"/>
                <w:sz w:val="24"/>
                <w:szCs w:val="24"/>
              </w:rPr>
              <w:t>★维保范围</w:t>
            </w:r>
          </w:p>
        </w:tc>
        <w:tc>
          <w:tcPr>
            <w:tcW w:w="6067" w:type="dxa"/>
            <w:vAlign w:val="center"/>
          </w:tcPr>
          <w:p w14:paraId="18DEAA80">
            <w:pPr>
              <w:spacing w:line="360" w:lineRule="auto"/>
              <w:rPr>
                <w:rFonts w:ascii="宋体" w:hAnsi="宋体"/>
                <w:sz w:val="24"/>
                <w:szCs w:val="24"/>
              </w:rPr>
            </w:pPr>
            <w:r>
              <w:rPr>
                <w:rFonts w:hint="eastAsia" w:ascii="宋体" w:hAnsi="宋体"/>
                <w:sz w:val="24"/>
                <w:szCs w:val="24"/>
              </w:rPr>
              <w:t>设备清单参见附件</w:t>
            </w:r>
          </w:p>
        </w:tc>
        <w:tc>
          <w:tcPr>
            <w:tcW w:w="1275" w:type="dxa"/>
            <w:vMerge w:val="restart"/>
            <w:vAlign w:val="center"/>
          </w:tcPr>
          <w:p w14:paraId="7EB552B1">
            <w:pPr>
              <w:spacing w:line="360" w:lineRule="auto"/>
              <w:rPr>
                <w:rFonts w:ascii="宋体" w:hAnsi="宋体"/>
                <w:sz w:val="24"/>
                <w:szCs w:val="24"/>
              </w:rPr>
            </w:pPr>
            <w:r>
              <w:rPr>
                <w:rFonts w:hint="eastAsia" w:ascii="宋体" w:hAnsi="宋体"/>
                <w:sz w:val="24"/>
                <w:szCs w:val="24"/>
              </w:rPr>
              <w:t>基本维保工作范围</w:t>
            </w:r>
          </w:p>
        </w:tc>
      </w:tr>
      <w:tr w14:paraId="1F20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233DFCDD">
            <w:pPr>
              <w:spacing w:line="360" w:lineRule="auto"/>
              <w:rPr>
                <w:rFonts w:ascii="宋体" w:hAnsi="宋体"/>
                <w:sz w:val="24"/>
                <w:szCs w:val="24"/>
              </w:rPr>
            </w:pPr>
          </w:p>
        </w:tc>
        <w:tc>
          <w:tcPr>
            <w:tcW w:w="1123" w:type="dxa"/>
            <w:vMerge w:val="continue"/>
            <w:vAlign w:val="center"/>
          </w:tcPr>
          <w:p w14:paraId="417DAEF4">
            <w:pPr>
              <w:spacing w:line="360" w:lineRule="auto"/>
              <w:jc w:val="center"/>
              <w:rPr>
                <w:rFonts w:ascii="宋体" w:hAnsi="宋体"/>
                <w:sz w:val="24"/>
                <w:szCs w:val="24"/>
              </w:rPr>
            </w:pPr>
          </w:p>
        </w:tc>
        <w:tc>
          <w:tcPr>
            <w:tcW w:w="6067" w:type="dxa"/>
            <w:vAlign w:val="center"/>
          </w:tcPr>
          <w:p w14:paraId="468DF155">
            <w:pPr>
              <w:spacing w:line="360" w:lineRule="auto"/>
              <w:rPr>
                <w:rFonts w:ascii="宋体" w:hAnsi="宋体"/>
                <w:sz w:val="24"/>
                <w:szCs w:val="24"/>
              </w:rPr>
            </w:pPr>
            <w:r>
              <w:rPr>
                <w:rFonts w:hint="eastAsia" w:ascii="宋体" w:hAnsi="宋体"/>
                <w:sz w:val="24"/>
                <w:szCs w:val="24"/>
              </w:rPr>
              <w:t>投标方需提供维保范围内的设备部件故障排除、修复或更换；设备连接线路之间的免费维修更换及其他部件故障的技术支持。</w:t>
            </w:r>
          </w:p>
        </w:tc>
        <w:tc>
          <w:tcPr>
            <w:tcW w:w="1275" w:type="dxa"/>
            <w:vMerge w:val="continue"/>
            <w:vAlign w:val="center"/>
          </w:tcPr>
          <w:p w14:paraId="22687D29">
            <w:pPr>
              <w:spacing w:line="360" w:lineRule="auto"/>
              <w:rPr>
                <w:rFonts w:ascii="宋体" w:hAnsi="宋体"/>
                <w:sz w:val="24"/>
                <w:szCs w:val="24"/>
              </w:rPr>
            </w:pPr>
          </w:p>
        </w:tc>
      </w:tr>
      <w:tr w14:paraId="2C00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restart"/>
            <w:vAlign w:val="center"/>
          </w:tcPr>
          <w:p w14:paraId="131C4D61">
            <w:pPr>
              <w:spacing w:line="360" w:lineRule="auto"/>
              <w:rPr>
                <w:rFonts w:ascii="宋体" w:hAnsi="宋体"/>
                <w:sz w:val="24"/>
                <w:szCs w:val="24"/>
              </w:rPr>
            </w:pPr>
            <w:r>
              <w:rPr>
                <w:rFonts w:hint="eastAsia" w:ascii="宋体" w:hAnsi="宋体"/>
                <w:sz w:val="24"/>
                <w:szCs w:val="24"/>
              </w:rPr>
              <w:t>2</w:t>
            </w:r>
          </w:p>
        </w:tc>
        <w:tc>
          <w:tcPr>
            <w:tcW w:w="1123" w:type="dxa"/>
            <w:vMerge w:val="restart"/>
            <w:vAlign w:val="center"/>
          </w:tcPr>
          <w:p w14:paraId="41AE608B">
            <w:pPr>
              <w:spacing w:line="360" w:lineRule="auto"/>
              <w:jc w:val="center"/>
              <w:rPr>
                <w:rFonts w:ascii="宋体" w:hAnsi="宋体"/>
                <w:sz w:val="24"/>
                <w:szCs w:val="24"/>
              </w:rPr>
            </w:pPr>
            <w:r>
              <w:rPr>
                <w:rFonts w:hint="eastAsia" w:ascii="宋体" w:hAnsi="宋体"/>
                <w:sz w:val="24"/>
                <w:szCs w:val="24"/>
              </w:rPr>
              <w:t>巡检要求</w:t>
            </w:r>
          </w:p>
        </w:tc>
        <w:tc>
          <w:tcPr>
            <w:tcW w:w="6067" w:type="dxa"/>
            <w:vAlign w:val="center"/>
          </w:tcPr>
          <w:p w14:paraId="59A82B83">
            <w:pPr>
              <w:spacing w:line="360" w:lineRule="auto"/>
              <w:rPr>
                <w:rFonts w:ascii="宋体" w:hAnsi="宋体"/>
                <w:sz w:val="24"/>
                <w:szCs w:val="24"/>
              </w:rPr>
            </w:pPr>
            <w:r>
              <w:rPr>
                <w:rFonts w:hint="eastAsia" w:ascii="宋体" w:hAnsi="宋体"/>
                <w:sz w:val="24"/>
                <w:szCs w:val="24"/>
              </w:rPr>
              <w:t>投标方需根据机房硬件设备、系统的实际情况，制定专门的维保巡检方案和巡检计划，对硬件设备、系统进行预防性检查维护，针对检查结果提供检查分析报告和优化建议，并提供客户要求的其他一般技术支持。</w:t>
            </w:r>
          </w:p>
        </w:tc>
        <w:tc>
          <w:tcPr>
            <w:tcW w:w="1275" w:type="dxa"/>
            <w:vAlign w:val="center"/>
          </w:tcPr>
          <w:p w14:paraId="28FEA011">
            <w:pPr>
              <w:spacing w:line="360" w:lineRule="auto"/>
              <w:rPr>
                <w:rFonts w:ascii="宋体" w:hAnsi="宋体"/>
                <w:sz w:val="24"/>
                <w:szCs w:val="24"/>
              </w:rPr>
            </w:pPr>
          </w:p>
        </w:tc>
      </w:tr>
      <w:tr w14:paraId="0EAF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59352D38">
            <w:pPr>
              <w:spacing w:line="360" w:lineRule="auto"/>
              <w:rPr>
                <w:rFonts w:ascii="宋体" w:hAnsi="宋体"/>
                <w:sz w:val="24"/>
                <w:szCs w:val="24"/>
              </w:rPr>
            </w:pPr>
          </w:p>
        </w:tc>
        <w:tc>
          <w:tcPr>
            <w:tcW w:w="1123" w:type="dxa"/>
            <w:vMerge w:val="continue"/>
            <w:vAlign w:val="center"/>
          </w:tcPr>
          <w:p w14:paraId="1A1538AF">
            <w:pPr>
              <w:spacing w:line="360" w:lineRule="auto"/>
              <w:jc w:val="center"/>
              <w:rPr>
                <w:rFonts w:ascii="宋体" w:hAnsi="宋体"/>
                <w:sz w:val="24"/>
                <w:szCs w:val="24"/>
              </w:rPr>
            </w:pPr>
          </w:p>
        </w:tc>
        <w:tc>
          <w:tcPr>
            <w:tcW w:w="6067" w:type="dxa"/>
            <w:vAlign w:val="center"/>
          </w:tcPr>
          <w:p w14:paraId="1C4D375B">
            <w:pPr>
              <w:spacing w:line="360" w:lineRule="auto"/>
              <w:rPr>
                <w:rFonts w:ascii="宋体" w:hAnsi="宋体"/>
                <w:sz w:val="24"/>
                <w:szCs w:val="24"/>
              </w:rPr>
            </w:pPr>
            <w:r>
              <w:rPr>
                <w:rFonts w:hint="eastAsia" w:ascii="宋体" w:hAnsi="宋体"/>
                <w:sz w:val="24"/>
                <w:szCs w:val="24"/>
              </w:rPr>
              <w:t>投标方需提供不少于一次/季度的主动巡检服务，并在服务结束后提交《巡检报告》</w:t>
            </w:r>
          </w:p>
        </w:tc>
        <w:tc>
          <w:tcPr>
            <w:tcW w:w="1275" w:type="dxa"/>
            <w:vAlign w:val="center"/>
          </w:tcPr>
          <w:p w14:paraId="0F7D03F1">
            <w:pPr>
              <w:spacing w:line="360" w:lineRule="auto"/>
              <w:rPr>
                <w:rFonts w:ascii="宋体" w:hAnsi="宋体"/>
                <w:sz w:val="24"/>
                <w:szCs w:val="24"/>
              </w:rPr>
            </w:pPr>
          </w:p>
        </w:tc>
      </w:tr>
      <w:tr w14:paraId="193A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restart"/>
            <w:vAlign w:val="center"/>
          </w:tcPr>
          <w:p w14:paraId="6D9E6988">
            <w:pPr>
              <w:spacing w:line="360" w:lineRule="auto"/>
              <w:rPr>
                <w:rFonts w:ascii="宋体" w:hAnsi="宋体"/>
                <w:sz w:val="24"/>
                <w:szCs w:val="24"/>
              </w:rPr>
            </w:pPr>
            <w:r>
              <w:rPr>
                <w:rFonts w:hint="eastAsia" w:ascii="宋体" w:hAnsi="宋体"/>
                <w:sz w:val="24"/>
                <w:szCs w:val="24"/>
              </w:rPr>
              <w:t>3</w:t>
            </w:r>
          </w:p>
        </w:tc>
        <w:tc>
          <w:tcPr>
            <w:tcW w:w="1123" w:type="dxa"/>
            <w:vMerge w:val="restart"/>
            <w:vAlign w:val="center"/>
          </w:tcPr>
          <w:p w14:paraId="2FD50D70">
            <w:pPr>
              <w:spacing w:line="360" w:lineRule="auto"/>
              <w:jc w:val="center"/>
              <w:rPr>
                <w:rFonts w:ascii="宋体" w:hAnsi="宋体"/>
                <w:sz w:val="24"/>
                <w:szCs w:val="24"/>
              </w:rPr>
            </w:pPr>
            <w:r>
              <w:rPr>
                <w:rFonts w:hint="eastAsia" w:ascii="宋体" w:hAnsi="宋体"/>
                <w:sz w:val="24"/>
                <w:szCs w:val="24"/>
              </w:rPr>
              <w:t>技术支持</w:t>
            </w:r>
          </w:p>
        </w:tc>
        <w:tc>
          <w:tcPr>
            <w:tcW w:w="6067" w:type="dxa"/>
            <w:vAlign w:val="center"/>
          </w:tcPr>
          <w:p w14:paraId="1503204C">
            <w:pPr>
              <w:spacing w:line="360" w:lineRule="auto"/>
              <w:rPr>
                <w:rFonts w:ascii="宋体" w:hAnsi="宋体"/>
                <w:sz w:val="24"/>
                <w:szCs w:val="24"/>
              </w:rPr>
            </w:pPr>
            <w:r>
              <w:rPr>
                <w:rFonts w:hint="eastAsia" w:ascii="宋体" w:hAnsi="宋体"/>
                <w:sz w:val="24"/>
                <w:szCs w:val="24"/>
              </w:rPr>
              <w:t>投标方需提供7×24全天候热线，支持进行故障报修或提出技术支持请求。</w:t>
            </w:r>
          </w:p>
        </w:tc>
        <w:tc>
          <w:tcPr>
            <w:tcW w:w="1275" w:type="dxa"/>
            <w:vAlign w:val="center"/>
          </w:tcPr>
          <w:p w14:paraId="73FAE809">
            <w:pPr>
              <w:spacing w:line="360" w:lineRule="auto"/>
              <w:rPr>
                <w:rFonts w:ascii="宋体" w:hAnsi="宋体"/>
                <w:sz w:val="24"/>
                <w:szCs w:val="24"/>
              </w:rPr>
            </w:pPr>
          </w:p>
        </w:tc>
      </w:tr>
      <w:tr w14:paraId="58BE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12E791D6">
            <w:pPr>
              <w:spacing w:line="360" w:lineRule="auto"/>
              <w:rPr>
                <w:rFonts w:ascii="宋体" w:hAnsi="宋体"/>
                <w:sz w:val="24"/>
                <w:szCs w:val="24"/>
              </w:rPr>
            </w:pPr>
          </w:p>
        </w:tc>
        <w:tc>
          <w:tcPr>
            <w:tcW w:w="1123" w:type="dxa"/>
            <w:vMerge w:val="continue"/>
            <w:vAlign w:val="center"/>
          </w:tcPr>
          <w:p w14:paraId="708B4A93">
            <w:pPr>
              <w:spacing w:line="360" w:lineRule="auto"/>
              <w:jc w:val="center"/>
              <w:rPr>
                <w:rFonts w:ascii="宋体" w:hAnsi="宋体"/>
                <w:sz w:val="24"/>
                <w:szCs w:val="24"/>
              </w:rPr>
            </w:pPr>
          </w:p>
        </w:tc>
        <w:tc>
          <w:tcPr>
            <w:tcW w:w="6067" w:type="dxa"/>
            <w:vAlign w:val="center"/>
          </w:tcPr>
          <w:p w14:paraId="269F27B0">
            <w:pPr>
              <w:spacing w:line="360" w:lineRule="auto"/>
              <w:rPr>
                <w:rFonts w:ascii="宋体" w:hAnsi="宋体"/>
                <w:sz w:val="24"/>
                <w:szCs w:val="24"/>
              </w:rPr>
            </w:pPr>
            <w:r>
              <w:rPr>
                <w:rFonts w:hint="eastAsia" w:ascii="宋体" w:hAnsi="宋体"/>
                <w:sz w:val="24"/>
                <w:szCs w:val="24"/>
              </w:rPr>
              <w:t>投标方需在接到用户要求提供现场服务的通知后，1小时内派遣技术工程师到达现场。提供备件服务，需提供备件库照片、备件清单、备件库详细地址、库房所在地房屋合同等，并承诺可随时检查。</w:t>
            </w:r>
          </w:p>
        </w:tc>
        <w:tc>
          <w:tcPr>
            <w:tcW w:w="1275" w:type="dxa"/>
            <w:vAlign w:val="center"/>
          </w:tcPr>
          <w:p w14:paraId="640A59B3">
            <w:pPr>
              <w:spacing w:line="360" w:lineRule="auto"/>
              <w:rPr>
                <w:rFonts w:ascii="宋体" w:hAnsi="宋体"/>
                <w:sz w:val="24"/>
                <w:szCs w:val="24"/>
              </w:rPr>
            </w:pPr>
          </w:p>
        </w:tc>
      </w:tr>
      <w:tr w14:paraId="6E6F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5F2D387A">
            <w:pPr>
              <w:spacing w:line="360" w:lineRule="auto"/>
              <w:rPr>
                <w:rFonts w:ascii="宋体" w:hAnsi="宋体"/>
                <w:sz w:val="24"/>
                <w:szCs w:val="24"/>
              </w:rPr>
            </w:pPr>
          </w:p>
        </w:tc>
        <w:tc>
          <w:tcPr>
            <w:tcW w:w="1123" w:type="dxa"/>
            <w:vMerge w:val="continue"/>
            <w:vAlign w:val="center"/>
          </w:tcPr>
          <w:p w14:paraId="46FF5306">
            <w:pPr>
              <w:spacing w:line="360" w:lineRule="auto"/>
              <w:jc w:val="center"/>
              <w:rPr>
                <w:rFonts w:ascii="宋体" w:hAnsi="宋体"/>
                <w:sz w:val="24"/>
                <w:szCs w:val="24"/>
              </w:rPr>
            </w:pPr>
          </w:p>
        </w:tc>
        <w:tc>
          <w:tcPr>
            <w:tcW w:w="6067" w:type="dxa"/>
            <w:vAlign w:val="center"/>
          </w:tcPr>
          <w:p w14:paraId="64087362">
            <w:pPr>
              <w:spacing w:line="360" w:lineRule="auto"/>
              <w:rPr>
                <w:rFonts w:ascii="宋体" w:hAnsi="宋体"/>
                <w:bCs/>
                <w:sz w:val="24"/>
                <w:szCs w:val="24"/>
              </w:rPr>
            </w:pPr>
            <w:r>
              <w:rPr>
                <w:rFonts w:hint="eastAsia" w:ascii="宋体" w:hAnsi="宋体"/>
                <w:bCs/>
                <w:sz w:val="24"/>
                <w:szCs w:val="24"/>
              </w:rPr>
              <w:t>运维团队成员不少于5名，包含：运维服务项目经理、数据库工程师、网络工程师、IT工程师、安全工程师。</w:t>
            </w:r>
          </w:p>
        </w:tc>
        <w:tc>
          <w:tcPr>
            <w:tcW w:w="1275" w:type="dxa"/>
            <w:vAlign w:val="center"/>
          </w:tcPr>
          <w:p w14:paraId="3A385012">
            <w:pPr>
              <w:spacing w:line="360" w:lineRule="auto"/>
              <w:rPr>
                <w:rFonts w:ascii="宋体" w:hAnsi="宋体"/>
                <w:sz w:val="24"/>
                <w:szCs w:val="24"/>
              </w:rPr>
            </w:pPr>
          </w:p>
        </w:tc>
      </w:tr>
      <w:tr w14:paraId="68C4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74CADC6B">
            <w:pPr>
              <w:spacing w:line="360" w:lineRule="auto"/>
              <w:rPr>
                <w:rFonts w:ascii="宋体" w:hAnsi="宋体"/>
                <w:sz w:val="24"/>
                <w:szCs w:val="24"/>
              </w:rPr>
            </w:pPr>
          </w:p>
        </w:tc>
        <w:tc>
          <w:tcPr>
            <w:tcW w:w="1123" w:type="dxa"/>
            <w:vMerge w:val="continue"/>
            <w:vAlign w:val="center"/>
          </w:tcPr>
          <w:p w14:paraId="1E757C58">
            <w:pPr>
              <w:spacing w:line="360" w:lineRule="auto"/>
              <w:jc w:val="center"/>
              <w:rPr>
                <w:rFonts w:ascii="宋体" w:hAnsi="宋体"/>
                <w:sz w:val="24"/>
                <w:szCs w:val="24"/>
              </w:rPr>
            </w:pPr>
          </w:p>
        </w:tc>
        <w:tc>
          <w:tcPr>
            <w:tcW w:w="6067" w:type="dxa"/>
            <w:vAlign w:val="center"/>
          </w:tcPr>
          <w:p w14:paraId="104A6A3E">
            <w:pPr>
              <w:spacing w:line="360" w:lineRule="auto"/>
              <w:rPr>
                <w:rFonts w:ascii="宋体" w:hAnsi="宋体"/>
                <w:bCs/>
                <w:sz w:val="24"/>
                <w:szCs w:val="24"/>
              </w:rPr>
            </w:pPr>
            <w:r>
              <w:rPr>
                <w:rFonts w:hint="eastAsia" w:ascii="宋体" w:hAnsi="宋体"/>
                <w:bCs/>
                <w:sz w:val="24"/>
                <w:szCs w:val="24"/>
              </w:rPr>
              <w:t>投标方需提供各类设备的软件系统的调试配置服务。</w:t>
            </w:r>
          </w:p>
        </w:tc>
        <w:tc>
          <w:tcPr>
            <w:tcW w:w="1275" w:type="dxa"/>
            <w:vAlign w:val="center"/>
          </w:tcPr>
          <w:p w14:paraId="1BCC5352">
            <w:pPr>
              <w:spacing w:line="360" w:lineRule="auto"/>
              <w:rPr>
                <w:rFonts w:ascii="宋体" w:hAnsi="宋体"/>
                <w:sz w:val="24"/>
                <w:szCs w:val="24"/>
              </w:rPr>
            </w:pPr>
          </w:p>
        </w:tc>
      </w:tr>
      <w:tr w14:paraId="1113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5C3FFDCA">
            <w:pPr>
              <w:spacing w:line="360" w:lineRule="auto"/>
              <w:rPr>
                <w:rFonts w:ascii="宋体" w:hAnsi="宋体"/>
                <w:sz w:val="24"/>
                <w:szCs w:val="24"/>
              </w:rPr>
            </w:pPr>
          </w:p>
        </w:tc>
        <w:tc>
          <w:tcPr>
            <w:tcW w:w="1123" w:type="dxa"/>
            <w:vMerge w:val="continue"/>
            <w:vAlign w:val="center"/>
          </w:tcPr>
          <w:p w14:paraId="6EC39E93">
            <w:pPr>
              <w:spacing w:line="360" w:lineRule="auto"/>
              <w:jc w:val="center"/>
              <w:rPr>
                <w:rFonts w:ascii="宋体" w:hAnsi="宋体"/>
                <w:sz w:val="24"/>
                <w:szCs w:val="24"/>
              </w:rPr>
            </w:pPr>
          </w:p>
        </w:tc>
        <w:tc>
          <w:tcPr>
            <w:tcW w:w="6067" w:type="dxa"/>
            <w:vAlign w:val="center"/>
          </w:tcPr>
          <w:p w14:paraId="12A7A4C4">
            <w:pPr>
              <w:spacing w:line="360" w:lineRule="auto"/>
              <w:rPr>
                <w:rFonts w:ascii="宋体" w:hAnsi="宋体"/>
                <w:bCs/>
                <w:sz w:val="24"/>
                <w:szCs w:val="24"/>
              </w:rPr>
            </w:pPr>
            <w:r>
              <w:rPr>
                <w:rFonts w:hint="eastAsia" w:ascii="宋体" w:hAnsi="宋体"/>
                <w:bCs/>
                <w:sz w:val="24"/>
                <w:szCs w:val="24"/>
              </w:rPr>
              <w:t>提供备份数据恢复验证服务（提供关键业务数据恢复验证所需的备用设备及相关存储，满足数据应用验证要求）。</w:t>
            </w:r>
          </w:p>
        </w:tc>
        <w:tc>
          <w:tcPr>
            <w:tcW w:w="1275" w:type="dxa"/>
            <w:vAlign w:val="center"/>
          </w:tcPr>
          <w:p w14:paraId="25FF2ABF">
            <w:pPr>
              <w:spacing w:line="360" w:lineRule="auto"/>
              <w:rPr>
                <w:rFonts w:ascii="宋体" w:hAnsi="宋体"/>
                <w:sz w:val="24"/>
                <w:szCs w:val="24"/>
              </w:rPr>
            </w:pPr>
          </w:p>
        </w:tc>
      </w:tr>
      <w:tr w14:paraId="42D7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2389E069">
            <w:pPr>
              <w:spacing w:line="360" w:lineRule="auto"/>
              <w:rPr>
                <w:rFonts w:ascii="宋体" w:hAnsi="宋体"/>
                <w:sz w:val="24"/>
                <w:szCs w:val="24"/>
              </w:rPr>
            </w:pPr>
          </w:p>
        </w:tc>
        <w:tc>
          <w:tcPr>
            <w:tcW w:w="1123" w:type="dxa"/>
            <w:vMerge w:val="continue"/>
            <w:vAlign w:val="center"/>
          </w:tcPr>
          <w:p w14:paraId="7D5D8C24">
            <w:pPr>
              <w:spacing w:line="360" w:lineRule="auto"/>
              <w:jc w:val="center"/>
              <w:rPr>
                <w:rFonts w:ascii="宋体" w:hAnsi="宋体"/>
                <w:sz w:val="24"/>
                <w:szCs w:val="24"/>
              </w:rPr>
            </w:pPr>
          </w:p>
        </w:tc>
        <w:tc>
          <w:tcPr>
            <w:tcW w:w="6067" w:type="dxa"/>
            <w:vAlign w:val="center"/>
          </w:tcPr>
          <w:p w14:paraId="7EED88E5">
            <w:pPr>
              <w:spacing w:line="360" w:lineRule="auto"/>
              <w:rPr>
                <w:rFonts w:ascii="宋体" w:hAnsi="宋体"/>
                <w:bCs/>
                <w:sz w:val="24"/>
                <w:szCs w:val="24"/>
              </w:rPr>
            </w:pPr>
            <w:r>
              <w:rPr>
                <w:rFonts w:hint="eastAsia" w:ascii="宋体" w:hAnsi="宋体"/>
                <w:bCs/>
                <w:sz w:val="24"/>
                <w:szCs w:val="24"/>
              </w:rPr>
              <w:t>提供数据库支持服务。</w:t>
            </w:r>
          </w:p>
        </w:tc>
        <w:tc>
          <w:tcPr>
            <w:tcW w:w="1275" w:type="dxa"/>
            <w:vAlign w:val="center"/>
          </w:tcPr>
          <w:p w14:paraId="12FE087C">
            <w:pPr>
              <w:spacing w:line="360" w:lineRule="auto"/>
              <w:rPr>
                <w:rFonts w:ascii="宋体" w:hAnsi="宋体"/>
                <w:sz w:val="24"/>
                <w:szCs w:val="24"/>
              </w:rPr>
            </w:pPr>
          </w:p>
        </w:tc>
      </w:tr>
      <w:tr w14:paraId="56DD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Merge w:val="continue"/>
            <w:vAlign w:val="center"/>
          </w:tcPr>
          <w:p w14:paraId="74AD8A2E">
            <w:pPr>
              <w:spacing w:line="360" w:lineRule="auto"/>
              <w:rPr>
                <w:rFonts w:ascii="宋体" w:hAnsi="宋体"/>
                <w:sz w:val="24"/>
                <w:szCs w:val="24"/>
              </w:rPr>
            </w:pPr>
          </w:p>
        </w:tc>
        <w:tc>
          <w:tcPr>
            <w:tcW w:w="1123" w:type="dxa"/>
            <w:vMerge w:val="continue"/>
            <w:vAlign w:val="center"/>
          </w:tcPr>
          <w:p w14:paraId="1D5EE2CE">
            <w:pPr>
              <w:spacing w:line="360" w:lineRule="auto"/>
              <w:jc w:val="center"/>
              <w:rPr>
                <w:rFonts w:ascii="宋体" w:hAnsi="宋体"/>
                <w:sz w:val="24"/>
                <w:szCs w:val="24"/>
              </w:rPr>
            </w:pPr>
          </w:p>
        </w:tc>
        <w:tc>
          <w:tcPr>
            <w:tcW w:w="6067" w:type="dxa"/>
            <w:vAlign w:val="center"/>
          </w:tcPr>
          <w:p w14:paraId="041E35DA">
            <w:pPr>
              <w:spacing w:line="360" w:lineRule="auto"/>
              <w:rPr>
                <w:rFonts w:ascii="宋体" w:hAnsi="宋体"/>
                <w:bCs/>
                <w:sz w:val="24"/>
                <w:szCs w:val="24"/>
              </w:rPr>
            </w:pPr>
            <w:r>
              <w:rPr>
                <w:rFonts w:hint="eastAsia" w:ascii="宋体" w:hAnsi="宋体"/>
                <w:bCs/>
                <w:sz w:val="24"/>
                <w:szCs w:val="24"/>
              </w:rPr>
              <w:t>投标方需尽可能提供技术支持，以便于用户对现有系统进行新建、扩容或变更等工作。</w:t>
            </w:r>
          </w:p>
        </w:tc>
        <w:tc>
          <w:tcPr>
            <w:tcW w:w="1275" w:type="dxa"/>
            <w:vAlign w:val="center"/>
          </w:tcPr>
          <w:p w14:paraId="4A41BD9C">
            <w:pPr>
              <w:spacing w:line="360" w:lineRule="auto"/>
              <w:rPr>
                <w:rFonts w:ascii="宋体" w:hAnsi="宋体"/>
                <w:sz w:val="24"/>
                <w:szCs w:val="24"/>
              </w:rPr>
            </w:pPr>
          </w:p>
        </w:tc>
      </w:tr>
      <w:tr w14:paraId="55B0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05FDF8E9">
            <w:pPr>
              <w:spacing w:line="360" w:lineRule="auto"/>
              <w:rPr>
                <w:rFonts w:ascii="宋体" w:hAnsi="宋体"/>
                <w:sz w:val="24"/>
                <w:szCs w:val="24"/>
              </w:rPr>
            </w:pPr>
            <w:r>
              <w:rPr>
                <w:rFonts w:hint="eastAsia" w:ascii="宋体" w:hAnsi="宋体"/>
                <w:sz w:val="24"/>
                <w:szCs w:val="24"/>
              </w:rPr>
              <w:t>4</w:t>
            </w:r>
          </w:p>
        </w:tc>
        <w:tc>
          <w:tcPr>
            <w:tcW w:w="1123" w:type="dxa"/>
            <w:vAlign w:val="center"/>
          </w:tcPr>
          <w:p w14:paraId="1D450123">
            <w:pPr>
              <w:spacing w:line="360" w:lineRule="auto"/>
              <w:jc w:val="center"/>
              <w:rPr>
                <w:rFonts w:ascii="宋体" w:hAnsi="宋体"/>
                <w:color w:val="FF0000"/>
                <w:sz w:val="24"/>
                <w:szCs w:val="24"/>
              </w:rPr>
            </w:pPr>
            <w:bookmarkStart w:id="1" w:name="_GoBack"/>
            <w:r>
              <w:rPr>
                <w:rFonts w:hint="eastAsia" w:ascii="宋体" w:hAnsi="宋体"/>
                <w:color w:val="auto"/>
                <w:sz w:val="24"/>
                <w:szCs w:val="24"/>
              </w:rPr>
              <w:t>数据库运维监控服务</w:t>
            </w:r>
            <w:bookmarkEnd w:id="1"/>
          </w:p>
        </w:tc>
        <w:tc>
          <w:tcPr>
            <w:tcW w:w="6067" w:type="dxa"/>
            <w:vAlign w:val="center"/>
          </w:tcPr>
          <w:p w14:paraId="5BFB8AAC">
            <w:pPr>
              <w:spacing w:line="360" w:lineRule="auto"/>
              <w:rPr>
                <w:rFonts w:ascii="宋体" w:hAnsi="宋体"/>
                <w:bCs/>
                <w:color w:val="FF0000"/>
                <w:sz w:val="24"/>
                <w:szCs w:val="24"/>
              </w:rPr>
            </w:pPr>
            <w:r>
              <w:rPr>
                <w:rFonts w:hint="eastAsia" w:ascii="宋体" w:hAnsi="宋体"/>
                <w:bCs/>
                <w:color w:val="auto"/>
                <w:sz w:val="24"/>
                <w:szCs w:val="24"/>
              </w:rPr>
              <w:t>提供数据库运维服务和运维工具。支持常见数据库类型的数据库迁移，支持数据库全量迁移与增量迁移。支持结合数据库备份集、数据库快照、数据库事务日志等手段进行数据库连续备份。提供对核心业务数据库的优化服务，包括对数据库的现场应急、性能优化、健康巡检与7*24H技术支持；支持图形化的数据库拓扑监控和运行状态监控，实时可视化查看数据库集群各个节点的健康情况、资源使用情况、缓存命中率、表空间使用率、内存排序率等各项性能指标，并在节点故障或指标异常时向用户发出告警。</w:t>
            </w:r>
          </w:p>
        </w:tc>
        <w:tc>
          <w:tcPr>
            <w:tcW w:w="1275" w:type="dxa"/>
            <w:vAlign w:val="center"/>
          </w:tcPr>
          <w:p w14:paraId="43655DBC">
            <w:pPr>
              <w:spacing w:line="360" w:lineRule="auto"/>
              <w:rPr>
                <w:rFonts w:ascii="宋体" w:hAnsi="宋体"/>
                <w:sz w:val="24"/>
                <w:szCs w:val="24"/>
              </w:rPr>
            </w:pPr>
          </w:p>
        </w:tc>
      </w:tr>
    </w:tbl>
    <w:p w14:paraId="3F1F8B29">
      <w:pPr>
        <w:spacing w:before="156" w:beforeLines="50" w:after="156" w:afterLines="50" w:line="360" w:lineRule="auto"/>
        <w:rPr>
          <w:rFonts w:ascii="宋体" w:hAnsi="宋体" w:cs="宋体"/>
          <w:b/>
          <w:bCs/>
          <w:sz w:val="28"/>
          <w:szCs w:val="28"/>
        </w:rPr>
      </w:pPr>
      <w:r>
        <w:rPr>
          <w:rFonts w:hint="eastAsia" w:ascii="宋体" w:hAnsi="宋体" w:cs="宋体"/>
          <w:b/>
          <w:bCs/>
          <w:sz w:val="28"/>
          <w:szCs w:val="28"/>
        </w:rPr>
        <w:t>★三、服务时间</w:t>
      </w:r>
    </w:p>
    <w:p w14:paraId="6616D5BE">
      <w:pPr>
        <w:pStyle w:val="13"/>
        <w:spacing w:line="360" w:lineRule="auto"/>
        <w:ind w:firstLine="480" w:firstLineChars="200"/>
        <w:rPr>
          <w:rFonts w:ascii="宋体" w:hAnsi="宋体" w:eastAsia="宋体" w:cs="宋体"/>
          <w:color w:val="auto"/>
        </w:rPr>
      </w:pPr>
      <w:r>
        <w:rPr>
          <w:rFonts w:hint="eastAsia" w:ascii="宋体" w:hAnsi="宋体" w:eastAsia="宋体" w:cs="宋体"/>
          <w:color w:val="auto"/>
        </w:rPr>
        <w:t>服务期：</w:t>
      </w:r>
      <w:r>
        <w:rPr>
          <w:rFonts w:hint="eastAsia" w:ascii="宋体" w:hAnsi="宋体" w:eastAsia="宋体"/>
          <w:highlight w:val="none"/>
          <w:lang w:val="en-US" w:eastAsia="zh-CN"/>
        </w:rPr>
        <w:t>三年（</w:t>
      </w:r>
      <w:r>
        <w:rPr>
          <w:rFonts w:hint="eastAsia" w:ascii="宋体" w:hAnsi="宋体" w:eastAsia="宋体" w:cs="宋体"/>
          <w:color w:val="auto"/>
        </w:rPr>
        <w:t>具体以合同为准）。</w:t>
      </w:r>
    </w:p>
    <w:p w14:paraId="34A9A4F3">
      <w:pPr>
        <w:spacing w:before="156" w:beforeLines="50" w:after="156" w:afterLines="50" w:line="360" w:lineRule="auto"/>
        <w:rPr>
          <w:rFonts w:ascii="宋体" w:hAnsi="宋体" w:cs="宋体"/>
          <w:b/>
          <w:bCs/>
          <w:sz w:val="28"/>
          <w:szCs w:val="28"/>
        </w:rPr>
      </w:pPr>
    </w:p>
    <w:p w14:paraId="4F785CA2">
      <w:pPr>
        <w:spacing w:before="156" w:beforeLines="50" w:after="156" w:afterLines="50" w:line="360" w:lineRule="auto"/>
        <w:rPr>
          <w:rFonts w:ascii="宋体" w:hAnsi="宋体" w:cs="宋体"/>
          <w:b/>
          <w:bCs/>
          <w:sz w:val="28"/>
          <w:szCs w:val="28"/>
        </w:rPr>
      </w:pPr>
      <w:r>
        <w:rPr>
          <w:rFonts w:hint="eastAsia" w:ascii="宋体" w:hAnsi="宋体" w:cs="宋体"/>
          <w:b/>
          <w:bCs/>
          <w:sz w:val="28"/>
          <w:szCs w:val="28"/>
        </w:rPr>
        <w:t>附件：清单</w:t>
      </w:r>
    </w:p>
    <w:p w14:paraId="7F2809A0">
      <w:pPr>
        <w:spacing w:line="360" w:lineRule="auto"/>
        <w:ind w:firstLine="480" w:firstLineChars="200"/>
        <w:rPr>
          <w:rFonts w:ascii="宋体" w:hAnsi="宋体"/>
          <w:sz w:val="24"/>
          <w:szCs w:val="24"/>
        </w:rPr>
      </w:pPr>
      <w:r>
        <w:rPr>
          <w:rFonts w:hint="eastAsia" w:ascii="宋体" w:hAnsi="宋体"/>
          <w:sz w:val="24"/>
          <w:szCs w:val="24"/>
        </w:rPr>
        <w:t>该项运维工作共涉及各类硬件设备及系统。</w:t>
      </w:r>
    </w:p>
    <w:p w14:paraId="73C26C03">
      <w:pPr>
        <w:spacing w:line="360" w:lineRule="auto"/>
        <w:ind w:firstLine="482" w:firstLineChars="200"/>
        <w:rPr>
          <w:rFonts w:ascii="宋体" w:hAnsi="宋体"/>
          <w:sz w:val="24"/>
          <w:szCs w:val="24"/>
        </w:rPr>
      </w:pPr>
      <w:r>
        <w:rPr>
          <w:rFonts w:hint="eastAsia" w:ascii="宋体" w:hAnsi="宋体" w:cs="宋体"/>
          <w:b/>
          <w:bCs/>
          <w:sz w:val="24"/>
          <w:szCs w:val="24"/>
        </w:rPr>
        <w:t>★</w:t>
      </w:r>
      <w:r>
        <w:rPr>
          <w:rFonts w:hint="eastAsia" w:ascii="宋体" w:hAnsi="宋体"/>
          <w:sz w:val="24"/>
          <w:szCs w:val="24"/>
        </w:rPr>
        <w:t>投标人须提供主要设备厂商（包括：DELL、深信服、H3C、浪潮）出具的服务承诺函（加盖厂商公章）复印件。</w:t>
      </w:r>
    </w:p>
    <w:tbl>
      <w:tblPr>
        <w:tblStyle w:val="8"/>
        <w:tblW w:w="8275" w:type="dxa"/>
        <w:tblInd w:w="0" w:type="dxa"/>
        <w:shd w:val="clear" w:color="auto" w:fill="FFFFFF" w:themeFill="background1"/>
        <w:tblLayout w:type="autofit"/>
        <w:tblCellMar>
          <w:top w:w="0" w:type="dxa"/>
          <w:left w:w="108" w:type="dxa"/>
          <w:bottom w:w="0" w:type="dxa"/>
          <w:right w:w="108" w:type="dxa"/>
        </w:tblCellMar>
      </w:tblPr>
      <w:tblGrid>
        <w:gridCol w:w="2515"/>
        <w:gridCol w:w="3600"/>
        <w:gridCol w:w="2160"/>
      </w:tblGrid>
      <w:tr w14:paraId="4C35CCDA">
        <w:tblPrEx>
          <w:shd w:val="clear" w:color="auto" w:fill="FFFFFF" w:themeFill="background1"/>
          <w:tblCellMar>
            <w:top w:w="0" w:type="dxa"/>
            <w:left w:w="108" w:type="dxa"/>
            <w:bottom w:w="0" w:type="dxa"/>
            <w:right w:w="108" w:type="dxa"/>
          </w:tblCellMar>
        </w:tblPrEx>
        <w:trPr>
          <w:trHeight w:val="535" w:hRule="atLeast"/>
        </w:trPr>
        <w:tc>
          <w:tcPr>
            <w:tcW w:w="25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0DEF59">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设备类别</w:t>
            </w:r>
          </w:p>
        </w:tc>
        <w:tc>
          <w:tcPr>
            <w:tcW w:w="3600" w:type="dxa"/>
            <w:tcBorders>
              <w:top w:val="single" w:color="auto" w:sz="4" w:space="0"/>
              <w:left w:val="nil"/>
              <w:bottom w:val="single" w:color="auto" w:sz="4" w:space="0"/>
              <w:right w:val="single" w:color="auto" w:sz="4" w:space="0"/>
            </w:tcBorders>
            <w:shd w:val="clear" w:color="auto" w:fill="FFFFFF" w:themeFill="background1"/>
            <w:vAlign w:val="center"/>
          </w:tcPr>
          <w:p w14:paraId="36A03EA8">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涉及品牌</w:t>
            </w:r>
          </w:p>
        </w:tc>
        <w:tc>
          <w:tcPr>
            <w:tcW w:w="2160" w:type="dxa"/>
            <w:tcBorders>
              <w:top w:val="single" w:color="auto" w:sz="4" w:space="0"/>
              <w:left w:val="nil"/>
              <w:bottom w:val="single" w:color="auto" w:sz="4" w:space="0"/>
              <w:right w:val="single" w:color="auto" w:sz="4" w:space="0"/>
            </w:tcBorders>
            <w:shd w:val="clear" w:color="auto" w:fill="FFFFFF" w:themeFill="background1"/>
            <w:vAlign w:val="center"/>
          </w:tcPr>
          <w:p w14:paraId="0A7D9C83">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2026年度</w:t>
            </w:r>
          </w:p>
        </w:tc>
      </w:tr>
      <w:tr w14:paraId="054277ED">
        <w:tblPrEx>
          <w:shd w:val="clear" w:color="auto" w:fill="FFFFFF" w:themeFill="background1"/>
          <w:tblCellMar>
            <w:top w:w="0" w:type="dxa"/>
            <w:left w:w="108" w:type="dxa"/>
            <w:bottom w:w="0" w:type="dxa"/>
            <w:right w:w="108" w:type="dxa"/>
          </w:tblCellMar>
        </w:tblPrEx>
        <w:trPr>
          <w:trHeight w:val="640" w:hRule="atLeast"/>
        </w:trPr>
        <w:tc>
          <w:tcPr>
            <w:tcW w:w="2515" w:type="dxa"/>
            <w:tcBorders>
              <w:top w:val="nil"/>
              <w:left w:val="single" w:color="auto" w:sz="4" w:space="0"/>
              <w:bottom w:val="single" w:color="auto" w:sz="4" w:space="0"/>
              <w:right w:val="single" w:color="auto" w:sz="4" w:space="0"/>
            </w:tcBorders>
            <w:shd w:val="clear" w:color="auto" w:fill="FFFFFF" w:themeFill="background1"/>
            <w:vAlign w:val="center"/>
          </w:tcPr>
          <w:p w14:paraId="20D6B008">
            <w:pPr>
              <w:widowControl/>
              <w:jc w:val="center"/>
              <w:rPr>
                <w:rFonts w:ascii="宋体" w:hAnsi="宋体" w:cs="宋体"/>
                <w:color w:val="000000"/>
                <w:kern w:val="0"/>
                <w:sz w:val="24"/>
                <w:szCs w:val="24"/>
              </w:rPr>
            </w:pPr>
            <w:r>
              <w:rPr>
                <w:rFonts w:hint="eastAsia" w:ascii="宋体" w:hAnsi="宋体" w:cs="宋体"/>
                <w:color w:val="000000"/>
                <w:kern w:val="0"/>
                <w:sz w:val="24"/>
                <w:szCs w:val="24"/>
              </w:rPr>
              <w:t>服务器</w:t>
            </w:r>
          </w:p>
        </w:tc>
        <w:tc>
          <w:tcPr>
            <w:tcW w:w="3600" w:type="dxa"/>
            <w:tcBorders>
              <w:top w:val="nil"/>
              <w:left w:val="nil"/>
              <w:bottom w:val="single" w:color="auto" w:sz="4" w:space="0"/>
              <w:right w:val="single" w:color="auto" w:sz="4" w:space="0"/>
            </w:tcBorders>
            <w:shd w:val="clear" w:color="auto" w:fill="FFFFFF" w:themeFill="background1"/>
            <w:vAlign w:val="center"/>
          </w:tcPr>
          <w:p w14:paraId="24CDFB43">
            <w:pPr>
              <w:widowControl/>
              <w:jc w:val="center"/>
              <w:rPr>
                <w:rFonts w:ascii="宋体" w:hAnsi="宋体" w:cs="宋体"/>
                <w:color w:val="000000"/>
                <w:kern w:val="0"/>
                <w:sz w:val="24"/>
                <w:szCs w:val="24"/>
              </w:rPr>
            </w:pPr>
            <w:r>
              <w:rPr>
                <w:rFonts w:hint="eastAsia" w:ascii="宋体" w:hAnsi="宋体" w:cs="宋体"/>
                <w:color w:val="000000"/>
                <w:kern w:val="0"/>
                <w:sz w:val="24"/>
                <w:szCs w:val="24"/>
              </w:rPr>
              <w:t>华为、DELL、HP、IBM、联想</w:t>
            </w:r>
          </w:p>
        </w:tc>
        <w:tc>
          <w:tcPr>
            <w:tcW w:w="2160" w:type="dxa"/>
            <w:tcBorders>
              <w:top w:val="nil"/>
              <w:left w:val="nil"/>
              <w:bottom w:val="single" w:color="auto" w:sz="4" w:space="0"/>
              <w:right w:val="single" w:color="auto" w:sz="4" w:space="0"/>
            </w:tcBorders>
            <w:shd w:val="clear" w:color="auto" w:fill="FFFFFF" w:themeFill="background1"/>
            <w:vAlign w:val="center"/>
          </w:tcPr>
          <w:p w14:paraId="78D7C08B">
            <w:pPr>
              <w:widowControl/>
              <w:jc w:val="center"/>
              <w:rPr>
                <w:rFonts w:ascii="宋体" w:hAnsi="宋体" w:cs="宋体"/>
                <w:color w:val="000000"/>
                <w:kern w:val="0"/>
                <w:sz w:val="24"/>
                <w:szCs w:val="24"/>
              </w:rPr>
            </w:pPr>
            <w:r>
              <w:rPr>
                <w:rFonts w:hint="eastAsia" w:ascii="宋体" w:hAnsi="宋体" w:cs="宋体"/>
                <w:color w:val="000000"/>
                <w:kern w:val="0"/>
                <w:sz w:val="24"/>
                <w:szCs w:val="24"/>
              </w:rPr>
              <w:t>53</w:t>
            </w:r>
          </w:p>
        </w:tc>
      </w:tr>
      <w:tr w14:paraId="03F69278">
        <w:tblPrEx>
          <w:shd w:val="clear" w:color="auto" w:fill="FFFFFF" w:themeFill="background1"/>
          <w:tblCellMar>
            <w:top w:w="0" w:type="dxa"/>
            <w:left w:w="108" w:type="dxa"/>
            <w:bottom w:w="0" w:type="dxa"/>
            <w:right w:w="108" w:type="dxa"/>
          </w:tblCellMar>
        </w:tblPrEx>
        <w:trPr>
          <w:trHeight w:val="661" w:hRule="atLeast"/>
        </w:trPr>
        <w:tc>
          <w:tcPr>
            <w:tcW w:w="2515" w:type="dxa"/>
            <w:tcBorders>
              <w:top w:val="nil"/>
              <w:left w:val="single" w:color="auto" w:sz="4" w:space="0"/>
              <w:bottom w:val="single" w:color="auto" w:sz="4" w:space="0"/>
              <w:right w:val="single" w:color="auto" w:sz="4" w:space="0"/>
            </w:tcBorders>
            <w:shd w:val="clear" w:color="auto" w:fill="FFFFFF" w:themeFill="background1"/>
            <w:vAlign w:val="center"/>
          </w:tcPr>
          <w:p w14:paraId="50602037">
            <w:pPr>
              <w:widowControl/>
              <w:jc w:val="center"/>
              <w:rPr>
                <w:rFonts w:ascii="宋体" w:hAnsi="宋体" w:cs="宋体"/>
                <w:color w:val="000000"/>
                <w:kern w:val="0"/>
                <w:sz w:val="24"/>
                <w:szCs w:val="24"/>
              </w:rPr>
            </w:pPr>
            <w:r>
              <w:rPr>
                <w:rFonts w:hint="eastAsia" w:ascii="宋体" w:hAnsi="宋体" w:cs="宋体"/>
                <w:color w:val="000000"/>
                <w:kern w:val="0"/>
                <w:sz w:val="24"/>
                <w:szCs w:val="24"/>
              </w:rPr>
              <w:t>超融合</w:t>
            </w:r>
          </w:p>
        </w:tc>
        <w:tc>
          <w:tcPr>
            <w:tcW w:w="3600" w:type="dxa"/>
            <w:tcBorders>
              <w:top w:val="nil"/>
              <w:left w:val="nil"/>
              <w:bottom w:val="single" w:color="auto" w:sz="4" w:space="0"/>
              <w:right w:val="single" w:color="auto" w:sz="4" w:space="0"/>
            </w:tcBorders>
            <w:shd w:val="clear" w:color="auto" w:fill="FFFFFF" w:themeFill="background1"/>
            <w:vAlign w:val="center"/>
          </w:tcPr>
          <w:p w14:paraId="0A7A8F84">
            <w:pPr>
              <w:widowControl/>
              <w:jc w:val="center"/>
              <w:rPr>
                <w:rFonts w:ascii="宋体" w:hAnsi="宋体" w:cs="宋体"/>
                <w:color w:val="000000"/>
                <w:kern w:val="0"/>
                <w:sz w:val="24"/>
                <w:szCs w:val="24"/>
              </w:rPr>
            </w:pPr>
            <w:r>
              <w:rPr>
                <w:rFonts w:hint="eastAsia" w:ascii="宋体" w:hAnsi="宋体" w:cs="宋体"/>
                <w:color w:val="000000"/>
                <w:kern w:val="0"/>
                <w:sz w:val="24"/>
                <w:szCs w:val="24"/>
              </w:rPr>
              <w:t>深信服、VX Rail</w:t>
            </w:r>
          </w:p>
        </w:tc>
        <w:tc>
          <w:tcPr>
            <w:tcW w:w="2160" w:type="dxa"/>
            <w:tcBorders>
              <w:top w:val="nil"/>
              <w:left w:val="nil"/>
              <w:bottom w:val="single" w:color="auto" w:sz="4" w:space="0"/>
              <w:right w:val="single" w:color="auto" w:sz="4" w:space="0"/>
            </w:tcBorders>
            <w:shd w:val="clear" w:color="auto" w:fill="FFFFFF" w:themeFill="background1"/>
            <w:vAlign w:val="center"/>
          </w:tcPr>
          <w:p w14:paraId="3FA5630A">
            <w:pPr>
              <w:widowControl/>
              <w:jc w:val="center"/>
              <w:rPr>
                <w:rFonts w:ascii="宋体" w:hAnsi="宋体" w:cs="宋体"/>
                <w:color w:val="000000"/>
                <w:kern w:val="0"/>
                <w:sz w:val="24"/>
                <w:szCs w:val="24"/>
              </w:rPr>
            </w:pPr>
            <w:r>
              <w:rPr>
                <w:rFonts w:hint="eastAsia" w:ascii="宋体" w:hAnsi="宋体" w:cs="宋体"/>
                <w:color w:val="000000"/>
                <w:kern w:val="0"/>
                <w:sz w:val="24"/>
                <w:szCs w:val="24"/>
              </w:rPr>
              <w:t>18</w:t>
            </w:r>
          </w:p>
        </w:tc>
      </w:tr>
      <w:tr w14:paraId="26FB9C5F">
        <w:tblPrEx>
          <w:tblCellMar>
            <w:top w:w="0" w:type="dxa"/>
            <w:left w:w="108" w:type="dxa"/>
            <w:bottom w:w="0" w:type="dxa"/>
            <w:right w:w="108" w:type="dxa"/>
          </w:tblCellMar>
        </w:tblPrEx>
        <w:trPr>
          <w:trHeight w:val="640" w:hRule="atLeast"/>
        </w:trPr>
        <w:tc>
          <w:tcPr>
            <w:tcW w:w="2515" w:type="dxa"/>
            <w:tcBorders>
              <w:top w:val="nil"/>
              <w:left w:val="single" w:color="auto" w:sz="4" w:space="0"/>
              <w:bottom w:val="single" w:color="auto" w:sz="4" w:space="0"/>
              <w:right w:val="single" w:color="auto" w:sz="4" w:space="0"/>
            </w:tcBorders>
            <w:shd w:val="clear" w:color="auto" w:fill="FFFFFF" w:themeFill="background1"/>
            <w:vAlign w:val="center"/>
          </w:tcPr>
          <w:p w14:paraId="013F4891">
            <w:pPr>
              <w:widowControl/>
              <w:jc w:val="center"/>
              <w:rPr>
                <w:rFonts w:ascii="宋体" w:hAnsi="宋体" w:cs="宋体"/>
                <w:color w:val="000000"/>
                <w:kern w:val="0"/>
                <w:sz w:val="24"/>
                <w:szCs w:val="24"/>
              </w:rPr>
            </w:pPr>
            <w:r>
              <w:rPr>
                <w:rFonts w:hint="eastAsia" w:ascii="宋体" w:hAnsi="宋体" w:cs="宋体"/>
                <w:color w:val="000000"/>
                <w:kern w:val="0"/>
                <w:sz w:val="24"/>
                <w:szCs w:val="24"/>
              </w:rPr>
              <w:t>网络</w:t>
            </w:r>
          </w:p>
        </w:tc>
        <w:tc>
          <w:tcPr>
            <w:tcW w:w="3600" w:type="dxa"/>
            <w:tcBorders>
              <w:top w:val="nil"/>
              <w:left w:val="nil"/>
              <w:bottom w:val="single" w:color="auto" w:sz="4" w:space="0"/>
              <w:right w:val="single" w:color="auto" w:sz="4" w:space="0"/>
            </w:tcBorders>
            <w:shd w:val="clear" w:color="auto" w:fill="FFFFFF" w:themeFill="background1"/>
            <w:vAlign w:val="center"/>
          </w:tcPr>
          <w:p w14:paraId="33164DE7">
            <w:pPr>
              <w:widowControl/>
              <w:jc w:val="center"/>
              <w:rPr>
                <w:rFonts w:ascii="宋体" w:hAnsi="宋体" w:cs="宋体"/>
                <w:color w:val="000000"/>
                <w:kern w:val="0"/>
                <w:sz w:val="24"/>
                <w:szCs w:val="24"/>
              </w:rPr>
            </w:pPr>
            <w:r>
              <w:rPr>
                <w:rFonts w:hint="eastAsia" w:ascii="宋体" w:hAnsi="宋体" w:cs="宋体"/>
                <w:color w:val="000000"/>
                <w:kern w:val="0"/>
                <w:sz w:val="24"/>
                <w:szCs w:val="24"/>
              </w:rPr>
              <w:t>华为、H3C、锐捷、DELL</w:t>
            </w:r>
          </w:p>
        </w:tc>
        <w:tc>
          <w:tcPr>
            <w:tcW w:w="2160" w:type="dxa"/>
            <w:tcBorders>
              <w:top w:val="nil"/>
              <w:left w:val="nil"/>
              <w:bottom w:val="single" w:color="auto" w:sz="4" w:space="0"/>
              <w:right w:val="single" w:color="auto" w:sz="4" w:space="0"/>
            </w:tcBorders>
            <w:shd w:val="clear" w:color="auto" w:fill="FFFFFF" w:themeFill="background1"/>
            <w:vAlign w:val="center"/>
          </w:tcPr>
          <w:p w14:paraId="41A3FB51">
            <w:pPr>
              <w:widowControl/>
              <w:jc w:val="center"/>
              <w:rPr>
                <w:rFonts w:ascii="宋体" w:hAnsi="宋体" w:cs="宋体"/>
                <w:color w:val="000000"/>
                <w:kern w:val="0"/>
                <w:sz w:val="24"/>
                <w:szCs w:val="24"/>
              </w:rPr>
            </w:pPr>
            <w:r>
              <w:rPr>
                <w:rFonts w:hint="eastAsia" w:ascii="宋体" w:hAnsi="宋体" w:cs="宋体"/>
                <w:color w:val="000000"/>
                <w:kern w:val="0"/>
                <w:sz w:val="24"/>
                <w:szCs w:val="24"/>
              </w:rPr>
              <w:t>14</w:t>
            </w:r>
          </w:p>
        </w:tc>
      </w:tr>
      <w:tr w14:paraId="73D95543">
        <w:tblPrEx>
          <w:tblCellMar>
            <w:top w:w="0" w:type="dxa"/>
            <w:left w:w="108" w:type="dxa"/>
            <w:bottom w:w="0" w:type="dxa"/>
            <w:right w:w="108" w:type="dxa"/>
          </w:tblCellMar>
        </w:tblPrEx>
        <w:trPr>
          <w:trHeight w:val="640" w:hRule="atLeast"/>
        </w:trPr>
        <w:tc>
          <w:tcPr>
            <w:tcW w:w="2515" w:type="dxa"/>
            <w:tcBorders>
              <w:top w:val="nil"/>
              <w:left w:val="single" w:color="auto" w:sz="4" w:space="0"/>
              <w:bottom w:val="single" w:color="auto" w:sz="4" w:space="0"/>
              <w:right w:val="single" w:color="auto" w:sz="4" w:space="0"/>
            </w:tcBorders>
            <w:shd w:val="clear" w:color="auto" w:fill="FFFFFF" w:themeFill="background1"/>
            <w:vAlign w:val="center"/>
          </w:tcPr>
          <w:p w14:paraId="21F75861">
            <w:pPr>
              <w:widowControl/>
              <w:jc w:val="center"/>
              <w:rPr>
                <w:rFonts w:ascii="宋体" w:hAnsi="宋体" w:cs="宋体"/>
                <w:color w:val="000000"/>
                <w:kern w:val="0"/>
                <w:sz w:val="24"/>
                <w:szCs w:val="24"/>
              </w:rPr>
            </w:pPr>
            <w:r>
              <w:rPr>
                <w:rFonts w:hint="eastAsia" w:ascii="宋体" w:hAnsi="宋体" w:cs="宋体"/>
                <w:color w:val="000000"/>
                <w:kern w:val="0"/>
                <w:sz w:val="24"/>
                <w:szCs w:val="24"/>
              </w:rPr>
              <w:t>存储</w:t>
            </w:r>
          </w:p>
        </w:tc>
        <w:tc>
          <w:tcPr>
            <w:tcW w:w="3600" w:type="dxa"/>
            <w:tcBorders>
              <w:top w:val="nil"/>
              <w:left w:val="nil"/>
              <w:bottom w:val="single" w:color="auto" w:sz="4" w:space="0"/>
              <w:right w:val="single" w:color="auto" w:sz="4" w:space="0"/>
            </w:tcBorders>
            <w:shd w:val="clear" w:color="auto" w:fill="FFFFFF" w:themeFill="background1"/>
            <w:vAlign w:val="center"/>
          </w:tcPr>
          <w:p w14:paraId="7D6FE390">
            <w:pPr>
              <w:widowControl/>
              <w:jc w:val="center"/>
            </w:pPr>
            <w:r>
              <w:rPr>
                <w:rFonts w:hint="eastAsia" w:ascii="宋体" w:hAnsi="宋体" w:cs="宋体"/>
                <w:color w:val="000000"/>
                <w:kern w:val="0"/>
                <w:sz w:val="24"/>
                <w:szCs w:val="24"/>
              </w:rPr>
              <w:t>宏杉、日立、DELL、浪潮</w:t>
            </w:r>
          </w:p>
        </w:tc>
        <w:tc>
          <w:tcPr>
            <w:tcW w:w="2160" w:type="dxa"/>
            <w:tcBorders>
              <w:top w:val="nil"/>
              <w:left w:val="nil"/>
              <w:bottom w:val="single" w:color="auto" w:sz="4" w:space="0"/>
              <w:right w:val="single" w:color="auto" w:sz="4" w:space="0"/>
            </w:tcBorders>
            <w:shd w:val="clear" w:color="auto" w:fill="FFFFFF" w:themeFill="background1"/>
            <w:vAlign w:val="center"/>
          </w:tcPr>
          <w:p w14:paraId="6FE789C8">
            <w:pPr>
              <w:widowControl/>
              <w:jc w:val="center"/>
              <w:rPr>
                <w:rFonts w:ascii="宋体" w:hAnsi="宋体" w:cs="宋体"/>
                <w:color w:val="000000"/>
                <w:kern w:val="0"/>
                <w:sz w:val="24"/>
                <w:szCs w:val="24"/>
              </w:rPr>
            </w:pPr>
            <w:r>
              <w:rPr>
                <w:rFonts w:hint="eastAsia" w:ascii="宋体" w:hAnsi="宋体" w:cs="宋体"/>
                <w:color w:val="000000"/>
                <w:kern w:val="0"/>
                <w:sz w:val="24"/>
                <w:szCs w:val="24"/>
              </w:rPr>
              <w:t>13</w:t>
            </w:r>
          </w:p>
        </w:tc>
      </w:tr>
      <w:tr w14:paraId="4827742D">
        <w:tblPrEx>
          <w:tblCellMar>
            <w:top w:w="0" w:type="dxa"/>
            <w:left w:w="108" w:type="dxa"/>
            <w:bottom w:w="0" w:type="dxa"/>
            <w:right w:w="108" w:type="dxa"/>
          </w:tblCellMar>
        </w:tblPrEx>
        <w:trPr>
          <w:trHeight w:val="577" w:hRule="atLeast"/>
        </w:trPr>
        <w:tc>
          <w:tcPr>
            <w:tcW w:w="2515" w:type="dxa"/>
            <w:tcBorders>
              <w:top w:val="nil"/>
              <w:left w:val="single" w:color="auto" w:sz="4" w:space="0"/>
              <w:bottom w:val="single" w:color="auto" w:sz="4" w:space="0"/>
              <w:right w:val="single" w:color="auto" w:sz="4" w:space="0"/>
            </w:tcBorders>
            <w:shd w:val="clear" w:color="auto" w:fill="FFFFFF" w:themeFill="background1"/>
            <w:vAlign w:val="center"/>
          </w:tcPr>
          <w:p w14:paraId="1ABD5FF6">
            <w:pPr>
              <w:widowControl/>
              <w:jc w:val="center"/>
              <w:rPr>
                <w:rFonts w:ascii="宋体" w:hAnsi="宋体" w:cs="宋体"/>
                <w:color w:val="000000"/>
                <w:kern w:val="0"/>
                <w:sz w:val="24"/>
                <w:szCs w:val="24"/>
              </w:rPr>
            </w:pPr>
            <w:r>
              <w:rPr>
                <w:rFonts w:hint="eastAsia" w:ascii="宋体" w:hAnsi="宋体" w:cs="宋体"/>
                <w:color w:val="000000"/>
                <w:kern w:val="0"/>
                <w:sz w:val="24"/>
                <w:szCs w:val="24"/>
              </w:rPr>
              <w:t>安全</w:t>
            </w:r>
          </w:p>
        </w:tc>
        <w:tc>
          <w:tcPr>
            <w:tcW w:w="3600" w:type="dxa"/>
            <w:tcBorders>
              <w:top w:val="nil"/>
              <w:left w:val="nil"/>
              <w:bottom w:val="single" w:color="auto" w:sz="4" w:space="0"/>
              <w:right w:val="single" w:color="auto" w:sz="4" w:space="0"/>
            </w:tcBorders>
            <w:shd w:val="clear" w:color="auto" w:fill="FFFFFF" w:themeFill="background1"/>
            <w:vAlign w:val="center"/>
          </w:tcPr>
          <w:p w14:paraId="1F891405">
            <w:pPr>
              <w:widowControl/>
              <w:jc w:val="center"/>
              <w:rPr>
                <w:rFonts w:ascii="宋体" w:hAnsi="宋体" w:cs="宋体"/>
                <w:color w:val="000000"/>
                <w:kern w:val="0"/>
                <w:sz w:val="24"/>
                <w:szCs w:val="24"/>
              </w:rPr>
            </w:pPr>
            <w:r>
              <w:rPr>
                <w:rFonts w:hint="eastAsia" w:ascii="宋体" w:hAnsi="宋体" w:cs="宋体"/>
                <w:color w:val="000000"/>
                <w:kern w:val="0"/>
                <w:sz w:val="24"/>
                <w:szCs w:val="24"/>
              </w:rPr>
              <w:t>天融信、CFCA、绿盟、网神等</w:t>
            </w:r>
          </w:p>
        </w:tc>
        <w:tc>
          <w:tcPr>
            <w:tcW w:w="2160" w:type="dxa"/>
            <w:tcBorders>
              <w:top w:val="nil"/>
              <w:left w:val="nil"/>
              <w:bottom w:val="single" w:color="auto" w:sz="4" w:space="0"/>
              <w:right w:val="single" w:color="auto" w:sz="4" w:space="0"/>
            </w:tcBorders>
            <w:shd w:val="clear" w:color="auto" w:fill="FFFFFF" w:themeFill="background1"/>
            <w:vAlign w:val="center"/>
          </w:tcPr>
          <w:p w14:paraId="69232C18">
            <w:pPr>
              <w:widowControl/>
              <w:jc w:val="center"/>
              <w:rPr>
                <w:rFonts w:ascii="宋体" w:hAnsi="宋体" w:cs="宋体"/>
                <w:color w:val="000000"/>
                <w:kern w:val="0"/>
                <w:sz w:val="24"/>
                <w:szCs w:val="24"/>
              </w:rPr>
            </w:pPr>
            <w:r>
              <w:rPr>
                <w:rFonts w:hint="eastAsia" w:ascii="宋体" w:hAnsi="宋体" w:cs="宋体"/>
                <w:color w:val="000000"/>
                <w:kern w:val="0"/>
                <w:sz w:val="24"/>
                <w:szCs w:val="24"/>
              </w:rPr>
              <w:t>25</w:t>
            </w:r>
          </w:p>
        </w:tc>
      </w:tr>
      <w:tr w14:paraId="562B6415">
        <w:tblPrEx>
          <w:shd w:val="clear" w:color="auto" w:fill="FFFFFF" w:themeFill="background1"/>
          <w:tblCellMar>
            <w:top w:w="0" w:type="dxa"/>
            <w:left w:w="108" w:type="dxa"/>
            <w:bottom w:w="0" w:type="dxa"/>
            <w:right w:w="108" w:type="dxa"/>
          </w:tblCellMar>
        </w:tblPrEx>
        <w:trPr>
          <w:trHeight w:val="521" w:hRule="atLeast"/>
        </w:trPr>
        <w:tc>
          <w:tcPr>
            <w:tcW w:w="2515" w:type="dxa"/>
            <w:tcBorders>
              <w:top w:val="nil"/>
              <w:left w:val="single" w:color="auto" w:sz="4" w:space="0"/>
              <w:bottom w:val="single" w:color="auto" w:sz="4" w:space="0"/>
              <w:right w:val="single" w:color="auto" w:sz="4" w:space="0"/>
            </w:tcBorders>
            <w:shd w:val="clear" w:color="auto" w:fill="FFFFFF" w:themeFill="background1"/>
            <w:vAlign w:val="center"/>
          </w:tcPr>
          <w:p w14:paraId="1E4C5096">
            <w:pPr>
              <w:widowControl/>
              <w:jc w:val="center"/>
              <w:rPr>
                <w:rFonts w:ascii="宋体" w:hAnsi="宋体" w:cs="宋体"/>
                <w:color w:val="000000"/>
                <w:kern w:val="0"/>
                <w:sz w:val="24"/>
                <w:szCs w:val="24"/>
              </w:rPr>
            </w:pPr>
            <w:r>
              <w:rPr>
                <w:rFonts w:hint="eastAsia" w:ascii="宋体" w:hAnsi="宋体" w:cs="宋体"/>
                <w:color w:val="000000"/>
                <w:kern w:val="0"/>
                <w:sz w:val="24"/>
                <w:szCs w:val="24"/>
              </w:rPr>
              <w:t>光纤交换</w:t>
            </w:r>
          </w:p>
        </w:tc>
        <w:tc>
          <w:tcPr>
            <w:tcW w:w="3600" w:type="dxa"/>
            <w:tcBorders>
              <w:top w:val="nil"/>
              <w:left w:val="nil"/>
              <w:bottom w:val="single" w:color="auto" w:sz="4" w:space="0"/>
              <w:right w:val="single" w:color="auto" w:sz="4" w:space="0"/>
            </w:tcBorders>
            <w:shd w:val="clear" w:color="auto" w:fill="FFFFFF" w:themeFill="background1"/>
            <w:vAlign w:val="center"/>
          </w:tcPr>
          <w:p w14:paraId="1C8965AB">
            <w:pPr>
              <w:widowControl/>
              <w:jc w:val="center"/>
              <w:rPr>
                <w:rFonts w:ascii="宋体" w:hAnsi="宋体" w:cs="宋体"/>
                <w:color w:val="000000"/>
                <w:kern w:val="0"/>
                <w:sz w:val="24"/>
                <w:szCs w:val="24"/>
              </w:rPr>
            </w:pPr>
            <w:r>
              <w:rPr>
                <w:rFonts w:hint="eastAsia" w:ascii="宋体" w:hAnsi="宋体" w:cs="宋体"/>
                <w:color w:val="000000"/>
                <w:kern w:val="0"/>
                <w:sz w:val="24"/>
                <w:szCs w:val="24"/>
              </w:rPr>
              <w:t>华为、Brocade、DELL、浪潮</w:t>
            </w:r>
          </w:p>
        </w:tc>
        <w:tc>
          <w:tcPr>
            <w:tcW w:w="2160" w:type="dxa"/>
            <w:tcBorders>
              <w:top w:val="nil"/>
              <w:left w:val="nil"/>
              <w:bottom w:val="single" w:color="auto" w:sz="4" w:space="0"/>
              <w:right w:val="single" w:color="auto" w:sz="4" w:space="0"/>
            </w:tcBorders>
            <w:shd w:val="clear" w:color="auto" w:fill="FFFFFF" w:themeFill="background1"/>
            <w:vAlign w:val="center"/>
          </w:tcPr>
          <w:p w14:paraId="6F795417">
            <w:pPr>
              <w:widowControl/>
              <w:jc w:val="center"/>
              <w:rPr>
                <w:rFonts w:ascii="宋体" w:hAnsi="宋体" w:cs="宋体"/>
                <w:color w:val="000000"/>
                <w:kern w:val="0"/>
                <w:sz w:val="24"/>
                <w:szCs w:val="24"/>
              </w:rPr>
            </w:pPr>
            <w:r>
              <w:rPr>
                <w:rFonts w:hint="eastAsia" w:ascii="宋体" w:hAnsi="宋体" w:cs="宋体"/>
                <w:color w:val="000000"/>
                <w:kern w:val="0"/>
                <w:sz w:val="24"/>
                <w:szCs w:val="24"/>
              </w:rPr>
              <w:t>9</w:t>
            </w:r>
          </w:p>
        </w:tc>
      </w:tr>
      <w:tr w14:paraId="78A53CB9">
        <w:tblPrEx>
          <w:tblCellMar>
            <w:top w:w="0" w:type="dxa"/>
            <w:left w:w="108" w:type="dxa"/>
            <w:bottom w:w="0" w:type="dxa"/>
            <w:right w:w="108" w:type="dxa"/>
          </w:tblCellMar>
        </w:tblPrEx>
        <w:trPr>
          <w:trHeight w:val="605" w:hRule="atLeast"/>
        </w:trPr>
        <w:tc>
          <w:tcPr>
            <w:tcW w:w="25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261DBF">
            <w:pPr>
              <w:widowControl/>
              <w:jc w:val="center"/>
              <w:rPr>
                <w:rFonts w:ascii="宋体" w:hAnsi="宋体" w:cs="宋体"/>
                <w:color w:val="000000"/>
                <w:kern w:val="0"/>
                <w:sz w:val="24"/>
                <w:szCs w:val="24"/>
              </w:rPr>
            </w:pPr>
            <w:r>
              <w:rPr>
                <w:rFonts w:hint="eastAsia" w:ascii="宋体" w:hAnsi="宋体" w:cs="宋体"/>
                <w:color w:val="000000"/>
                <w:kern w:val="0"/>
                <w:sz w:val="24"/>
                <w:szCs w:val="24"/>
              </w:rPr>
              <w:t>备份</w:t>
            </w:r>
          </w:p>
        </w:tc>
        <w:tc>
          <w:tcPr>
            <w:tcW w:w="360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3CEAB3">
            <w:pPr>
              <w:widowControl/>
              <w:jc w:val="center"/>
              <w:rPr>
                <w:rFonts w:ascii="宋体" w:hAnsi="宋体" w:cs="宋体"/>
                <w:color w:val="000000"/>
                <w:kern w:val="0"/>
                <w:sz w:val="24"/>
                <w:szCs w:val="24"/>
              </w:rPr>
            </w:pPr>
            <w:r>
              <w:rPr>
                <w:rFonts w:hint="eastAsia" w:ascii="宋体" w:hAnsi="宋体" w:cs="宋体"/>
                <w:color w:val="000000"/>
                <w:kern w:val="0"/>
                <w:sz w:val="24"/>
                <w:szCs w:val="24"/>
              </w:rPr>
              <w:t>黑方</w:t>
            </w:r>
          </w:p>
        </w:tc>
        <w:tc>
          <w:tcPr>
            <w:tcW w:w="216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864772">
            <w:pPr>
              <w:widowControl/>
              <w:jc w:val="center"/>
              <w:rPr>
                <w:rFonts w:ascii="宋体" w:hAnsi="宋体" w:cs="宋体"/>
                <w:color w:val="000000"/>
                <w:kern w:val="0"/>
                <w:sz w:val="24"/>
                <w:szCs w:val="24"/>
              </w:rPr>
            </w:pPr>
            <w:r>
              <w:rPr>
                <w:rFonts w:hint="eastAsia" w:ascii="宋体" w:hAnsi="宋体" w:cs="宋体"/>
                <w:color w:val="000000"/>
                <w:kern w:val="0"/>
                <w:sz w:val="24"/>
                <w:szCs w:val="24"/>
              </w:rPr>
              <w:t>1</w:t>
            </w:r>
          </w:p>
        </w:tc>
      </w:tr>
      <w:tr w14:paraId="210C2FCF">
        <w:tblPrEx>
          <w:tblCellMar>
            <w:top w:w="0" w:type="dxa"/>
            <w:left w:w="108" w:type="dxa"/>
            <w:bottom w:w="0" w:type="dxa"/>
            <w:right w:w="108" w:type="dxa"/>
          </w:tblCellMar>
        </w:tblPrEx>
        <w:trPr>
          <w:trHeight w:val="605" w:hRule="atLeast"/>
        </w:trPr>
        <w:tc>
          <w:tcPr>
            <w:tcW w:w="25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4F01A3">
            <w:pPr>
              <w:widowControl/>
              <w:jc w:val="center"/>
              <w:rPr>
                <w:rFonts w:ascii="宋体" w:hAnsi="宋体" w:cs="宋体"/>
                <w:color w:val="000000"/>
                <w:kern w:val="0"/>
                <w:sz w:val="24"/>
                <w:szCs w:val="24"/>
              </w:rPr>
            </w:pPr>
            <w:r>
              <w:rPr>
                <w:rFonts w:hint="eastAsia" w:ascii="宋体" w:hAnsi="宋体" w:cs="宋体"/>
                <w:color w:val="000000"/>
                <w:kern w:val="0"/>
                <w:sz w:val="24"/>
                <w:szCs w:val="24"/>
              </w:rPr>
              <w:t>其他</w:t>
            </w:r>
          </w:p>
        </w:tc>
        <w:tc>
          <w:tcPr>
            <w:tcW w:w="3600" w:type="dxa"/>
            <w:tcBorders>
              <w:top w:val="single" w:color="auto" w:sz="4" w:space="0"/>
              <w:left w:val="nil"/>
              <w:bottom w:val="single" w:color="auto" w:sz="4" w:space="0"/>
              <w:right w:val="single" w:color="auto" w:sz="4" w:space="0"/>
            </w:tcBorders>
            <w:shd w:val="clear" w:color="auto" w:fill="FFFFFF" w:themeFill="background1"/>
            <w:vAlign w:val="center"/>
          </w:tcPr>
          <w:p w14:paraId="0A0D21AA">
            <w:pPr>
              <w:widowControl/>
              <w:jc w:val="center"/>
              <w:rPr>
                <w:rFonts w:ascii="宋体" w:hAnsi="宋体" w:cs="宋体"/>
                <w:color w:val="000000"/>
                <w:kern w:val="0"/>
                <w:sz w:val="24"/>
                <w:szCs w:val="24"/>
              </w:rPr>
            </w:pPr>
            <w:r>
              <w:rPr>
                <w:rFonts w:hint="eastAsia" w:ascii="宋体" w:hAnsi="宋体" w:cs="宋体"/>
                <w:color w:val="000000"/>
                <w:kern w:val="0"/>
                <w:sz w:val="24"/>
                <w:szCs w:val="24"/>
              </w:rPr>
              <w:t>视频录像机、电视控制、负载</w:t>
            </w:r>
          </w:p>
        </w:tc>
        <w:tc>
          <w:tcPr>
            <w:tcW w:w="2160" w:type="dxa"/>
            <w:tcBorders>
              <w:top w:val="single" w:color="auto" w:sz="4" w:space="0"/>
              <w:left w:val="nil"/>
              <w:bottom w:val="single" w:color="auto" w:sz="4" w:space="0"/>
              <w:right w:val="single" w:color="auto" w:sz="4" w:space="0"/>
            </w:tcBorders>
            <w:shd w:val="clear" w:color="auto" w:fill="FFFFFF" w:themeFill="background1"/>
            <w:vAlign w:val="center"/>
          </w:tcPr>
          <w:p w14:paraId="44384481">
            <w:pPr>
              <w:widowControl/>
              <w:jc w:val="center"/>
              <w:rPr>
                <w:rFonts w:ascii="宋体" w:hAnsi="宋体" w:cs="宋体"/>
                <w:color w:val="000000"/>
                <w:kern w:val="0"/>
                <w:sz w:val="24"/>
                <w:szCs w:val="24"/>
              </w:rPr>
            </w:pPr>
            <w:r>
              <w:rPr>
                <w:rFonts w:hint="eastAsia" w:ascii="宋体" w:hAnsi="宋体" w:cs="宋体"/>
                <w:color w:val="000000"/>
                <w:kern w:val="0"/>
                <w:sz w:val="24"/>
                <w:szCs w:val="24"/>
              </w:rPr>
              <w:t>4</w:t>
            </w:r>
          </w:p>
        </w:tc>
      </w:tr>
    </w:tbl>
    <w:p w14:paraId="1AB7DA2A">
      <w:pPr>
        <w:pStyle w:val="2"/>
        <w:rPr>
          <w:rFonts w:ascii="宋体" w:hAnsi="宋体"/>
          <w:sz w:val="24"/>
          <w:szCs w:val="24"/>
        </w:rPr>
      </w:pPr>
    </w:p>
    <w:p w14:paraId="57D49479">
      <w:pPr>
        <w:spacing w:line="360" w:lineRule="auto"/>
        <w:ind w:firstLine="482" w:firstLineChars="200"/>
        <w:rPr>
          <w:rFonts w:ascii="宋体" w:hAnsi="宋体" w:cs="宋体"/>
          <w:b/>
          <w:bCs/>
          <w:sz w:val="24"/>
          <w:szCs w:val="24"/>
        </w:rPr>
      </w:pPr>
      <w:r>
        <w:rPr>
          <w:rFonts w:hint="eastAsia" w:ascii="宋体" w:hAnsi="宋体" w:cs="宋体"/>
          <w:b/>
          <w:bCs/>
          <w:sz w:val="24"/>
          <w:szCs w:val="24"/>
        </w:rPr>
        <w:t>注：“</w:t>
      </w:r>
      <w:bookmarkStart w:id="0" w:name="_Hlk103515343"/>
      <w:r>
        <w:rPr>
          <w:rFonts w:hint="eastAsia" w:ascii="宋体" w:hAnsi="宋体" w:cs="宋体"/>
          <w:b/>
          <w:bCs/>
          <w:sz w:val="24"/>
          <w:szCs w:val="24"/>
        </w:rPr>
        <w:t>★</w:t>
      </w:r>
      <w:bookmarkEnd w:id="0"/>
      <w:r>
        <w:rPr>
          <w:rFonts w:hint="eastAsia" w:ascii="宋体" w:hAnsi="宋体" w:cs="宋体"/>
          <w:b/>
          <w:bCs/>
          <w:sz w:val="24"/>
          <w:szCs w:val="24"/>
        </w:rPr>
        <w:t>”号条款为实质性条款，不得出现负偏离，发生负偏离即做无效投标处理。负偏离是指投标人所提交投标文件的内容低于或经评标委员会认定不满足招标文件的情形。</w:t>
      </w:r>
    </w:p>
    <w:p w14:paraId="29EB1C7D">
      <w:pPr>
        <w:pStyle w:val="2"/>
        <w:rPr>
          <w:rFonts w:ascii="宋体" w:hAnsi="宋体"/>
          <w:sz w:val="24"/>
          <w:szCs w:val="24"/>
        </w:rPr>
      </w:pPr>
    </w:p>
    <w:p w14:paraId="60FB41B3">
      <w:pPr>
        <w:pStyle w:val="13"/>
        <w:spacing w:line="360" w:lineRule="auto"/>
        <w:ind w:firstLine="480" w:firstLineChars="200"/>
        <w:rPr>
          <w:rFonts w:ascii="宋体" w:hAnsi="宋体" w:eastAsia="宋体" w:cs="宋体"/>
          <w:color w:val="auto"/>
        </w:rPr>
      </w:pPr>
    </w:p>
    <w:p w14:paraId="061C987C">
      <w:pPr>
        <w:rPr>
          <w:rFonts w:ascii="宋体" w:hAnsi="宋体"/>
          <w:sz w:val="24"/>
          <w:szCs w:val="24"/>
        </w:rPr>
      </w:pP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正文 CS 字体)">
    <w:altName w:val="宋体"/>
    <w:panose1 w:val="00000000000000000000"/>
    <w:charset w:val="00"/>
    <w:family w:val="roman"/>
    <w:pitch w:val="default"/>
    <w:sig w:usb0="00000000" w:usb1="00000000" w:usb2="00000009" w:usb3="00000000" w:csb0="000001FF" w:csb1="00000000"/>
  </w:font>
  <w:font w:name=".......">
    <w:altName w:val="宋体"/>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8E7"/>
    <w:rsid w:val="00020C90"/>
    <w:rsid w:val="00042856"/>
    <w:rsid w:val="00060925"/>
    <w:rsid w:val="00186C98"/>
    <w:rsid w:val="00192137"/>
    <w:rsid w:val="002A77E1"/>
    <w:rsid w:val="0030154F"/>
    <w:rsid w:val="0030540F"/>
    <w:rsid w:val="00324CBF"/>
    <w:rsid w:val="00335695"/>
    <w:rsid w:val="003A29E2"/>
    <w:rsid w:val="003C12CD"/>
    <w:rsid w:val="00433BE5"/>
    <w:rsid w:val="00467D3C"/>
    <w:rsid w:val="004A46EF"/>
    <w:rsid w:val="006452AE"/>
    <w:rsid w:val="00646944"/>
    <w:rsid w:val="006D0A3C"/>
    <w:rsid w:val="006E6F45"/>
    <w:rsid w:val="00705B67"/>
    <w:rsid w:val="007A3958"/>
    <w:rsid w:val="007A4FDD"/>
    <w:rsid w:val="007A76C8"/>
    <w:rsid w:val="007E4FC5"/>
    <w:rsid w:val="00830DAF"/>
    <w:rsid w:val="008568E7"/>
    <w:rsid w:val="008614E3"/>
    <w:rsid w:val="008A1E9D"/>
    <w:rsid w:val="008D4C43"/>
    <w:rsid w:val="009C5802"/>
    <w:rsid w:val="00A15F14"/>
    <w:rsid w:val="00A304A9"/>
    <w:rsid w:val="00A37082"/>
    <w:rsid w:val="00A703B8"/>
    <w:rsid w:val="00A72A25"/>
    <w:rsid w:val="00AC5F73"/>
    <w:rsid w:val="00B447FA"/>
    <w:rsid w:val="00B52783"/>
    <w:rsid w:val="00C0664B"/>
    <w:rsid w:val="00C64C18"/>
    <w:rsid w:val="00D012DC"/>
    <w:rsid w:val="00D226C9"/>
    <w:rsid w:val="00DF2B7A"/>
    <w:rsid w:val="00E05EC9"/>
    <w:rsid w:val="00E47EDB"/>
    <w:rsid w:val="00E61D95"/>
    <w:rsid w:val="00E7699D"/>
    <w:rsid w:val="00EB799B"/>
    <w:rsid w:val="00F40C41"/>
    <w:rsid w:val="00F8747D"/>
    <w:rsid w:val="00FF4637"/>
    <w:rsid w:val="0F3620C2"/>
    <w:rsid w:val="13A739C8"/>
    <w:rsid w:val="1A6745A4"/>
    <w:rsid w:val="23DD3661"/>
    <w:rsid w:val="24700FB5"/>
    <w:rsid w:val="28C74E2D"/>
    <w:rsid w:val="436037BB"/>
    <w:rsid w:val="4C853CAC"/>
    <w:rsid w:val="4E5C4D9A"/>
    <w:rsid w:val="62886432"/>
    <w:rsid w:val="6FE74798"/>
    <w:rsid w:val="73A53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2"/>
    <w:semiHidden/>
    <w:unhideWhenUsed/>
    <w:qFormat/>
    <w:uiPriority w:val="99"/>
    <w:pPr>
      <w:spacing w:after="120"/>
    </w:p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9"/>
    <w:basedOn w:val="1"/>
    <w:next w:val="1"/>
    <w:autoRedefine/>
    <w:semiHidden/>
    <w:unhideWhenUsed/>
    <w:uiPriority w:val="39"/>
    <w:pPr>
      <w:ind w:left="3360" w:leftChars="1600"/>
    </w:pPr>
  </w:style>
  <w:style w:type="paragraph" w:styleId="7">
    <w:name w:val="Normal (Web)"/>
    <w:basedOn w:val="1"/>
    <w:qFormat/>
    <w:uiPriority w:val="99"/>
    <w:rPr>
      <w:sz w:val="24"/>
    </w:rPr>
  </w:style>
  <w:style w:type="paragraph" w:customStyle="1" w:styleId="10">
    <w:name w:val="sh-正文"/>
    <w:basedOn w:val="1"/>
    <w:autoRedefine/>
    <w:qFormat/>
    <w:uiPriority w:val="0"/>
    <w:pPr>
      <w:jc w:val="center"/>
    </w:pPr>
    <w:rPr>
      <w:rFonts w:cs="Times New Roman (正文 CS 字体)" w:asciiTheme="minorHAnsi" w:hAnsiTheme="minorHAnsi"/>
      <w:sz w:val="28"/>
      <w:szCs w:val="22"/>
    </w:rPr>
  </w:style>
  <w:style w:type="character" w:customStyle="1" w:styleId="11">
    <w:name w:val="标题 1 Char"/>
    <w:basedOn w:val="9"/>
    <w:link w:val="3"/>
    <w:uiPriority w:val="0"/>
    <w:rPr>
      <w:rFonts w:ascii="Times New Roman" w:hAnsi="Times New Roman" w:eastAsia="宋体" w:cs="Times New Roman"/>
      <w:b/>
      <w:bCs/>
      <w:kern w:val="44"/>
      <w:sz w:val="44"/>
      <w:szCs w:val="44"/>
    </w:rPr>
  </w:style>
  <w:style w:type="character" w:customStyle="1" w:styleId="12">
    <w:name w:val="正文文本 Char"/>
    <w:basedOn w:val="9"/>
    <w:link w:val="2"/>
    <w:semiHidden/>
    <w:qFormat/>
    <w:uiPriority w:val="99"/>
    <w:rPr>
      <w:rFonts w:ascii="Times New Roman" w:hAnsi="Times New Roman" w:eastAsia="宋体" w:cs="Times New Roman"/>
      <w:szCs w:val="20"/>
    </w:rPr>
  </w:style>
  <w:style w:type="paragraph" w:customStyle="1" w:styleId="13">
    <w:name w:val="Default"/>
    <w:next w:val="6"/>
    <w:link w:val="14"/>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14">
    <w:name w:val="Default Char"/>
    <w:link w:val="13"/>
    <w:qFormat/>
    <w:locked/>
    <w:uiPriority w:val="0"/>
    <w:rPr>
      <w:rFonts w:ascii="......." w:hAnsi="Calibri" w:eastAsia="......." w:cs="......."/>
      <w:color w:val="000000"/>
      <w:kern w:val="0"/>
      <w:sz w:val="24"/>
    </w:rPr>
  </w:style>
  <w:style w:type="paragraph" w:styleId="15">
    <w:name w:val="List Paragraph"/>
    <w:basedOn w:val="1"/>
    <w:qFormat/>
    <w:uiPriority w:val="34"/>
    <w:pPr>
      <w:ind w:firstLine="420" w:firstLineChars="200"/>
    </w:pPr>
  </w:style>
  <w:style w:type="character" w:customStyle="1" w:styleId="16">
    <w:name w:val="页眉 Char"/>
    <w:basedOn w:val="9"/>
    <w:link w:val="5"/>
    <w:qFormat/>
    <w:uiPriority w:val="99"/>
    <w:rPr>
      <w:rFonts w:ascii="Times New Roman" w:hAnsi="Times New Roman" w:eastAsia="宋体" w:cs="Times New Roman"/>
      <w:kern w:val="2"/>
      <w:sz w:val="18"/>
      <w:szCs w:val="18"/>
    </w:rPr>
  </w:style>
  <w:style w:type="character" w:customStyle="1" w:styleId="17">
    <w:name w:val="页脚 Char"/>
    <w:basedOn w:val="9"/>
    <w:link w:val="4"/>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997</Words>
  <Characters>1018</Characters>
  <Lines>9</Lines>
  <Paragraphs>2</Paragraphs>
  <TotalTime>80</TotalTime>
  <ScaleCrop>false</ScaleCrop>
  <LinksUpToDate>false</LinksUpToDate>
  <CharactersWithSpaces>1018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2025-07-14T01:09:00Z</dcterms:created>
  <dc:creator>Microsoft Office User</dc:creator>
  <cp:lastModifiedBy>张维</cp:lastModifiedBy>
  <dcterms:modified xsi:type="dcterms:W3CDTF">2026-09-17T03:39:57Z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eyJoZGlkIjoiYmJiNTY4N2Q4NDE0OTA3ZTExMzY3M2E5Y2ZkYTVkNTAiLCJ1c2VySWQiOiIxNjkyMjgyOTIzIn0=</vt:lpwstr>
  </property>
  <property fmtid="{D5CDD505-2E9C-101B-9397-08002B2CF9AE}" pid="3" name="KSOProductBuildVer">
    <vt:lpwstr>2052-12.1.0.28505</vt:lpwstr>
  </property>
  <property fmtid="{D5CDD505-2E9C-101B-9397-08002B2CF9AE}" pid="4" name="ICV">
    <vt:lpwstr>8626E86E86DF4A6186EBCE4C98F18B57_13</vt:lpwstr>
  </property>
</Properties>
</file>