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BC26C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天津医科大学第二医院AI赋能基层全病程扩容项目</w:t>
      </w:r>
    </w:p>
    <w:p w14:paraId="7D4AC162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需求说明书</w:t>
      </w:r>
    </w:p>
    <w:p w14:paraId="5DB39F0B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0" w:after="210" w:line="360" w:lineRule="auto"/>
        <w:ind w:left="0" w:leftChars="0" w:firstLine="403" w:firstLineChars="0"/>
        <w:jc w:val="left"/>
        <w:textAlignment w:val="auto"/>
        <w:rPr>
          <w:rFonts w:hint="default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val="en-US" w:eastAsia="zh-CN"/>
        </w:rPr>
        <w:t>项目名称</w:t>
      </w:r>
    </w:p>
    <w:p w14:paraId="10F95ACB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16"/>
          <w:lang w:val="en-US" w:eastAsia="zh-CN"/>
        </w:rPr>
        <w:t>天津医科大学第二医院AI</w:t>
      </w:r>
      <w:r>
        <w:rPr>
          <w:rFonts w:hint="eastAsia" w:asciiTheme="minorEastAsia" w:hAnsiTheme="minorEastAsia" w:cstheme="minorEastAsia"/>
          <w:sz w:val="24"/>
          <w:szCs w:val="16"/>
          <w:lang w:val="en-US" w:eastAsia="zh-CN"/>
        </w:rPr>
        <w:t>赋能基层</w:t>
      </w:r>
      <w:r>
        <w:rPr>
          <w:rFonts w:hint="eastAsia" w:asciiTheme="minorEastAsia" w:hAnsiTheme="minorEastAsia" w:eastAsiaTheme="minorEastAsia" w:cstheme="minorEastAsia"/>
          <w:sz w:val="24"/>
          <w:szCs w:val="16"/>
          <w:lang w:val="en-US" w:eastAsia="zh-CN"/>
        </w:rPr>
        <w:t>全病程扩容项目</w:t>
      </w:r>
    </w:p>
    <w:p w14:paraId="26DC605D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0" w:after="210" w:line="360" w:lineRule="auto"/>
        <w:ind w:left="0" w:leftChars="0" w:firstLine="403" w:firstLineChars="0"/>
        <w:jc w:val="left"/>
        <w:textAlignment w:val="auto"/>
        <w:rPr>
          <w:rFonts w:hint="default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val="en-US" w:eastAsia="zh-CN"/>
        </w:rPr>
        <w:t>项目建设工期</w:t>
      </w:r>
    </w:p>
    <w:p w14:paraId="1EB96D0E">
      <w:pPr>
        <w:rPr>
          <w:rFonts w:hint="default"/>
          <w:lang w:val="en-US" w:eastAsia="zh-CN"/>
        </w:rPr>
      </w:pPr>
      <w:r>
        <w:rPr>
          <w:rFonts w:hint="eastAsia"/>
          <w:sz w:val="24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16"/>
          <w:lang w:val="en-US" w:eastAsia="zh-CN"/>
        </w:rPr>
        <w:t xml:space="preserve">  工期：60工作日</w:t>
      </w:r>
    </w:p>
    <w:p w14:paraId="55713FB3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0" w:after="210" w:line="360" w:lineRule="auto"/>
        <w:ind w:left="0" w:leftChars="0" w:firstLine="403" w:firstLineChars="0"/>
        <w:jc w:val="left"/>
        <w:textAlignment w:val="auto"/>
        <w:rPr>
          <w:rFonts w:hint="default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val="en-US" w:eastAsia="zh-CN"/>
        </w:rPr>
        <w:t>项目背景</w:t>
      </w:r>
    </w:p>
    <w:p w14:paraId="3C0BFCDE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根据天津河西区发布“关于对《天津市河西区卫生健康事业发展“十五五”规划 （征求意见稿）》公开征求意见的公告，立足区域卫生健康事业发展实际，推动公立医院改革与高质量发展。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河西区公立医院改革与高质量发展提升项目的具体部署，均明确要求以基层为重点、推动服务模式从“以治病为中心”向“以人民健康为中心”转变、发展慢性病防治康管全链条服务、推进人工智能等数智技术在基层的应用。本项目正是上述政策要求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具体落地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在天津医科大学第二医院及河西区城市医疗集团场景下的形式。</w:t>
      </w:r>
    </w:p>
    <w:p w14:paraId="56B234CD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0" w:after="210" w:line="360" w:lineRule="auto"/>
        <w:ind w:left="0" w:leftChars="0" w:firstLine="403" w:firstLineChars="0"/>
        <w:jc w:val="left"/>
        <w:textAlignment w:val="auto"/>
        <w:rPr>
          <w:rFonts w:hint="default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val="en-US" w:eastAsia="zh-CN"/>
        </w:rPr>
        <w:t>项目需求</w:t>
      </w:r>
    </w:p>
    <w:p w14:paraId="7FFC2F93"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1"/>
          <w:lang w:val="en-US" w:eastAsia="zh-CN"/>
        </w:rPr>
        <w:t>总体需求</w:t>
      </w:r>
    </w:p>
    <w:tbl>
      <w:tblPr>
        <w:tblStyle w:val="6"/>
        <w:tblW w:w="98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64"/>
        <w:gridCol w:w="1860"/>
        <w:gridCol w:w="2028"/>
        <w:gridCol w:w="4092"/>
      </w:tblGrid>
      <w:tr w14:paraId="750FE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shd w:val="clear" w:color="auto" w:fill="FFFFFF"/>
          </w:tcPr>
          <w:p w14:paraId="16114910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D5D0302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项目需求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6B0AEB3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需求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子功能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B22A961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功能模块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描述</w:t>
            </w:r>
          </w:p>
        </w:tc>
        <w:tc>
          <w:tcPr>
            <w:tcW w:w="4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53B62D4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需求定位</w:t>
            </w:r>
          </w:p>
        </w:tc>
      </w:tr>
      <w:tr w14:paraId="794CB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shd w:val="clear" w:color="auto" w:fill="FFFFFF"/>
          </w:tcPr>
          <w:p w14:paraId="33A0BE35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D5FD8E8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616CDA80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31169398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49989EC6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4A579061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58FF35BD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401767E3">
            <w:pPr>
              <w:spacing w:before="40" w:after="40" w:line="300" w:lineRule="auto"/>
              <w:ind w:left="211" w:hanging="211" w:hangingChars="100"/>
              <w:jc w:val="both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  <w:t>全病程管理平台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DB507F9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  <w:p w14:paraId="6512A7B8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新增加全病程管理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病种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ADDFF8D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  <w:p w14:paraId="509EB3EB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新增区域内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病种管理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种类及科室</w:t>
            </w:r>
          </w:p>
        </w:tc>
        <w:tc>
          <w:tcPr>
            <w:tcW w:w="4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0C03AE0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以科室为单位落地具体病种的全病程管理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并以此病种向辖区内社区延伸，进行区域内专慢病患者的院外联合管理、预防及干预。</w:t>
            </w:r>
          </w:p>
        </w:tc>
      </w:tr>
      <w:tr w14:paraId="461D2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B1668A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CE2D43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978781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患者资料结构化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623F41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AI患者资料上传及识别</w:t>
            </w:r>
          </w:p>
        </w:tc>
        <w:tc>
          <w:tcPr>
            <w:tcW w:w="4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55283D7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打通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基层患者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非结构化资料进入病程管理体系的第一道关口</w:t>
            </w:r>
          </w:p>
        </w:tc>
      </w:tr>
      <w:tr w14:paraId="49C6F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54FA5B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7D7817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5CD245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检验检查报告服务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4A474F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AI智能报告解读</w:t>
            </w:r>
          </w:p>
        </w:tc>
        <w:tc>
          <w:tcPr>
            <w:tcW w:w="4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EDA37E3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为患者与基层医生提供报告理解与引用支持</w:t>
            </w:r>
          </w:p>
        </w:tc>
      </w:tr>
      <w:tr w14:paraId="1D75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B8749F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E51C7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15974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平台运行支撑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089A1E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云算力资源</w:t>
            </w:r>
          </w:p>
        </w:tc>
        <w:tc>
          <w:tcPr>
            <w:tcW w:w="4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AD19D6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保障大模型推理与AI识别能力的持续可用</w:t>
            </w:r>
          </w:p>
        </w:tc>
      </w:tr>
      <w:tr w14:paraId="77C8A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A09368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W w:w="11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208F8C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56AE0C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接口对接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21EBE7">
            <w:pPr>
              <w:spacing w:before="40" w:after="40" w:line="300" w:lineRule="auto"/>
              <w:jc w:val="center"/>
              <w:rPr>
                <w:rFonts w:hint="default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基层医疗机构及本院院内系统、河西区区域平台等</w:t>
            </w:r>
          </w:p>
        </w:tc>
        <w:tc>
          <w:tcPr>
            <w:tcW w:w="4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7510524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实现与区域平台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/基层医疗机构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的互联互通与数据协同</w:t>
            </w:r>
          </w:p>
        </w:tc>
      </w:tr>
    </w:tbl>
    <w:p w14:paraId="43B2FFE2"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1"/>
          <w:lang w:val="en-US" w:eastAsia="zh-CN"/>
        </w:rPr>
        <w:t>需求功能参数</w:t>
      </w:r>
    </w:p>
    <w:tbl>
      <w:tblPr>
        <w:tblStyle w:val="6"/>
        <w:tblW w:w="98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110"/>
        <w:gridCol w:w="1539"/>
        <w:gridCol w:w="5262"/>
        <w:gridCol w:w="7"/>
        <w:gridCol w:w="752"/>
      </w:tblGrid>
      <w:tr w14:paraId="76C06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tcBorders>
              <w:tl2br w:val="nil"/>
            </w:tcBorders>
            <w:shd w:val="clear" w:color="auto" w:fill="FFFFFF"/>
          </w:tcPr>
          <w:p w14:paraId="054D65EA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项目需求</w:t>
            </w:r>
          </w:p>
        </w:tc>
        <w:tc>
          <w:tcPr>
            <w:tcW w:w="1110" w:type="dxa"/>
            <w:tcBorders>
              <w:tl2br w:val="nil"/>
            </w:tcBorders>
            <w:shd w:val="clear" w:color="auto" w:fill="FFFFFF"/>
          </w:tcPr>
          <w:p w14:paraId="434F7A90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需求子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功能模块</w:t>
            </w:r>
          </w:p>
        </w:tc>
        <w:tc>
          <w:tcPr>
            <w:tcW w:w="1539" w:type="dxa"/>
            <w:shd w:val="clear" w:color="auto" w:fill="FFFFFF"/>
          </w:tcPr>
          <w:p w14:paraId="56DBAA62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子功能</w:t>
            </w:r>
          </w:p>
        </w:tc>
        <w:tc>
          <w:tcPr>
            <w:tcW w:w="5262" w:type="dxa"/>
            <w:shd w:val="clear" w:color="auto" w:fill="FFFFFF"/>
          </w:tcPr>
          <w:p w14:paraId="18B86C8C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功能需求描述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7E7F0648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078B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restart"/>
            <w:shd w:val="clear" w:color="auto" w:fill="FFFFFF"/>
            <w:vAlign w:val="center"/>
          </w:tcPr>
          <w:p w14:paraId="681AE2DD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  <w:t>全病程管理平台</w:t>
            </w:r>
          </w:p>
        </w:tc>
        <w:tc>
          <w:tcPr>
            <w:tcW w:w="1110" w:type="dxa"/>
            <w:vMerge w:val="restart"/>
            <w:shd w:val="clear" w:color="auto" w:fill="FFFFFF"/>
            <w:vAlign w:val="center"/>
          </w:tcPr>
          <w:p w14:paraId="31F77FF4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新增加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管理病种及科室</w:t>
            </w:r>
          </w:p>
        </w:tc>
        <w:tc>
          <w:tcPr>
            <w:tcW w:w="1539" w:type="dxa"/>
            <w:shd w:val="clear" w:color="auto" w:fill="FFFFFF"/>
            <w:vAlign w:val="center"/>
          </w:tcPr>
          <w:p w14:paraId="0862B9C9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科室与病种配置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240E7114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支持按</w:t>
            </w: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  <w:t>原全病程管理系统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科室维度新增配置管理病种；每个病种可关联标准随访计划、表单库、问卷库、诊疗库与药品库的对应条目。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754E2A32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5813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4D2BBFCF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vMerge w:val="continue"/>
            <w:tcBorders/>
            <w:shd w:val="clear" w:color="auto" w:fill="FFFFFF"/>
            <w:vAlign w:val="center"/>
          </w:tcPr>
          <w:p w14:paraId="15630C06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47A7F3E3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随访计划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6BD8A66E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支持为每个病种定义标准随访计划，包括随访节点、随访方式、执行角色与随访内容；随访计划可基于患者病程方案动态调整。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11203B6A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036F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6BAE46E4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vMerge w:val="continue"/>
            <w:tcBorders/>
            <w:shd w:val="clear" w:color="auto" w:fill="FFFFFF"/>
            <w:vAlign w:val="center"/>
          </w:tcPr>
          <w:p w14:paraId="0E81DA2C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200A71A9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任务分发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14A10B44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将随访计划拆解为具体任务，按角色分发给管理团队、健康管理师、药师及营养师；支持任务的状态跟踪与超期提醒。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51C690F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61B9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6B4682E1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vMerge w:val="continue"/>
            <w:tcBorders/>
            <w:shd w:val="clear" w:color="auto" w:fill="FFFFFF"/>
            <w:vAlign w:val="center"/>
          </w:tcPr>
          <w:p w14:paraId="170347E0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2AF43B38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病程方案管理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74B7300C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为单个患者生成病程方案，支持病程方案与标准随访计划的对应关系；支持根据随访执行结果动态调整病程方案。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7550C2AB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398FB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4610367D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vMerge w:val="continue"/>
            <w:tcBorders/>
            <w:shd w:val="clear" w:color="auto" w:fill="FFFFFF"/>
            <w:vAlign w:val="center"/>
          </w:tcPr>
          <w:p w14:paraId="5EA4EE1B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7BA5D2CF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辅助资源库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38D8E1F3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提供药品库、诊疗库、表单库、问卷库的维护能力，供随访计划与病程方案引用。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4D3B8020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1F9AF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4A0412C0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vMerge w:val="restart"/>
            <w:shd w:val="clear" w:color="auto" w:fill="FFFFFF"/>
            <w:vAlign w:val="center"/>
          </w:tcPr>
          <w:p w14:paraId="020A7282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AI患者资料上传及识别</w:t>
            </w:r>
          </w:p>
        </w:tc>
        <w:tc>
          <w:tcPr>
            <w:tcW w:w="1539" w:type="dxa"/>
            <w:shd w:val="clear" w:color="auto" w:fill="FFFFFF"/>
            <w:vAlign w:val="center"/>
          </w:tcPr>
          <w:p w14:paraId="7E833D57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OCR识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别</w:t>
            </w:r>
          </w:p>
        </w:tc>
        <w:tc>
          <w:tcPr>
            <w:tcW w:w="5262" w:type="dxa"/>
            <w:shd w:val="clear" w:color="auto" w:fill="FFFFFF"/>
          </w:tcPr>
          <w:p w14:paraId="58E49509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支持患者通过掌上医院入口上传纸质病历、影像胶片、检验检查报告的拍照图片或PDF文件；</w:t>
            </w:r>
          </w:p>
          <w:p w14:paraId="1FD06D1B">
            <w:pPr>
              <w:spacing w:before="40" w:after="40" w:line="30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支持批量上传与多页连续拍摄；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3、</w:t>
            </w:r>
          </w:p>
          <w:p w14:paraId="66985F5C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对上传资料进行OCR文字识别，自动区分资料类型并完成分类归档；</w:t>
            </w:r>
          </w:p>
          <w:p w14:paraId="42A14EB0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识别结果保留原始图片与识别文本的对应关系，便于人工校验追溯。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2670825D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7FA14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636503E9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0EDA0FD8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1C2F64E1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医学语义结构化</w:t>
            </w:r>
          </w:p>
        </w:tc>
        <w:tc>
          <w:tcPr>
            <w:tcW w:w="5262" w:type="dxa"/>
            <w:shd w:val="clear" w:color="auto" w:fill="FFFFFF"/>
          </w:tcPr>
          <w:p w14:paraId="587AA8EA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使用大模型技术对OCR识别内容进行医学语义结构化，提取诊断、用药、关键指标等关键信息；</w:t>
            </w: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按项目定义的结构化字段输出，形成可供病程方案引用的患者结构化数据；</w:t>
            </w:r>
          </w:p>
          <w:p w14:paraId="55005A5B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支持结构化字段与原始资料的双向定位。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63C165E5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681A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2379C5FC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0991DE4D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1F400483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病历人工校对编辑</w:t>
            </w:r>
          </w:p>
        </w:tc>
        <w:tc>
          <w:tcPr>
            <w:tcW w:w="5262" w:type="dxa"/>
            <w:shd w:val="clear" w:color="auto" w:fill="FFFFFF"/>
          </w:tcPr>
          <w:p w14:paraId="1157DF98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提供识别结果的人工校对与编辑界面；</w:t>
            </w:r>
          </w:p>
          <w:p w14:paraId="423994B8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支持医生或管理团队对结构化字段进行修正、补充与确认；</w:t>
            </w:r>
          </w:p>
          <w:p w14:paraId="501657E6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记录校对操作人与校对时间，形成可审计的修改痕迹；</w:t>
            </w:r>
          </w:p>
          <w:p w14:paraId="5769E66C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校对前后的数据需同时留存。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090550D4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0800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61C3A2B3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557B38D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608CAD2F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病历存储</w:t>
            </w:r>
          </w:p>
        </w:tc>
        <w:tc>
          <w:tcPr>
            <w:tcW w:w="5262" w:type="dxa"/>
            <w:shd w:val="clear" w:color="auto" w:fill="FFFFFF"/>
          </w:tcPr>
          <w:p w14:paraId="0099F64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存储患者上传的病历源图片、PDF文件及识别的结构化数据；帮助患者形成个人电子病历夹，供基层医生及上级医院（天津医科大学第二医院）查阅及引用；</w:t>
            </w:r>
          </w:p>
          <w:p w14:paraId="0FDB41B5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支持按患者、时间、资料类型等维度检索与调阅。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1370AF79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26A03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106D676C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restart"/>
            <w:shd w:val="clear" w:color="auto" w:fill="FFFFFF"/>
            <w:vAlign w:val="center"/>
          </w:tcPr>
          <w:p w14:paraId="41D9652A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AI智能报告解读</w:t>
            </w:r>
          </w:p>
        </w:tc>
        <w:tc>
          <w:tcPr>
            <w:tcW w:w="1539" w:type="dxa"/>
            <w:shd w:val="clear" w:color="auto" w:fill="FFFFFF"/>
            <w:vAlign w:val="center"/>
          </w:tcPr>
          <w:p w14:paraId="58EE73A5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检查报告解读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4CB589F3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针对影像、超声、内镜等检查类报告，提供自动解读并生成结构化结论摘要；解读内容标注参考范围与建议关注项。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64FF22FD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1793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7CD4F3E5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357899D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0488B4B6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检验报告解读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5B03721B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针对生化、血常规、免疫等检验类报告，逐项标注结果与参考区间的关系；对异常指标给出提示。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693F25D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3714D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240B7FAD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0BFF48A2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765524C1">
            <w:pPr>
              <w:spacing w:before="40" w:after="40" w:line="30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多报告联合解读</w:t>
            </w:r>
          </w:p>
        </w:tc>
        <w:tc>
          <w:tcPr>
            <w:tcW w:w="5262" w:type="dxa"/>
            <w:shd w:val="clear" w:color="auto" w:fill="FFFFFF"/>
            <w:vAlign w:val="top"/>
          </w:tcPr>
          <w:p w14:paraId="411F0027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支持对同一患者跨时间、跨报告类型的数据进行联合解读，呈现指标变化趋势；支持将联合解读结果作为病程方案动态调整的输入之一。</w:t>
            </w:r>
          </w:p>
        </w:tc>
        <w:tc>
          <w:tcPr>
            <w:tcW w:w="759" w:type="dxa"/>
            <w:gridSpan w:val="2"/>
            <w:shd w:val="clear" w:color="auto" w:fill="FFFFFF"/>
          </w:tcPr>
          <w:p w14:paraId="7F0F4EA4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00ED8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296947B0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vMerge w:val="restart"/>
            <w:shd w:val="clear" w:color="auto" w:fill="FFFFFF"/>
            <w:vAlign w:val="center"/>
          </w:tcPr>
          <w:p w14:paraId="29F2D7F2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运算力资源</w:t>
            </w:r>
          </w:p>
        </w:tc>
        <w:tc>
          <w:tcPr>
            <w:tcW w:w="1539" w:type="dxa"/>
            <w:shd w:val="clear" w:color="auto" w:fill="FFFFFF"/>
            <w:vAlign w:val="center"/>
          </w:tcPr>
          <w:p w14:paraId="69FA3377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Token资源</w:t>
            </w:r>
          </w:p>
        </w:tc>
        <w:tc>
          <w:tcPr>
            <w:tcW w:w="5269" w:type="dxa"/>
            <w:gridSpan w:val="2"/>
            <w:shd w:val="clear" w:color="auto" w:fill="FFFFFF"/>
          </w:tcPr>
          <w:p w14:paraId="3A7F2DAF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套/年</w:t>
            </w: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52" w:type="dxa"/>
            <w:shd w:val="clear" w:color="auto" w:fill="FFFFFF"/>
          </w:tcPr>
          <w:p w14:paraId="337565AE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7057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66BF7FE2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62AE3B84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1A8DE01B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性能要求</w:t>
            </w:r>
          </w:p>
        </w:tc>
        <w:tc>
          <w:tcPr>
            <w:tcW w:w="5269" w:type="dxa"/>
            <w:gridSpan w:val="2"/>
            <w:shd w:val="clear" w:color="auto" w:fill="FFFFFF"/>
          </w:tcPr>
          <w:p w14:paraId="2998C042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需满足</w:t>
            </w: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  <w:t>AI患者资料上传及识别使用时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上传高峰期并发的识别与解读请求；</w:t>
            </w:r>
          </w:p>
          <w:p w14:paraId="4A1BB6A9">
            <w:pPr>
              <w:spacing w:before="40" w:after="40" w:line="300" w:lineRule="auto"/>
              <w:jc w:val="left"/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  <w:t>2、满足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单份资料的识别与结构化需在可接受时延内返回结果</w:t>
            </w: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eastAsia="zh-CN"/>
              </w:rPr>
              <w:t>；</w:t>
            </w:r>
          </w:p>
          <w:p w14:paraId="73AAF8D1">
            <w:pPr>
              <w:spacing w:before="40" w:after="40" w:line="300" w:lineRule="auto"/>
              <w:jc w:val="left"/>
              <w:rPr>
                <w:rFonts w:hint="default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333333"/>
                <w:sz w:val="21"/>
                <w:szCs w:val="21"/>
                <w:lang w:val="en-US" w:eastAsia="zh-CN"/>
              </w:rPr>
              <w:t>3、支持AI智能报告解读的大模型调用。</w:t>
            </w:r>
          </w:p>
        </w:tc>
        <w:tc>
          <w:tcPr>
            <w:tcW w:w="752" w:type="dxa"/>
            <w:shd w:val="clear" w:color="auto" w:fill="FFFFFF"/>
          </w:tcPr>
          <w:p w14:paraId="2D888771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5E2A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</w:tcPr>
          <w:p w14:paraId="36DA9CEC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vMerge w:val="continue"/>
            <w:shd w:val="clear" w:color="auto" w:fill="FFFFFF"/>
          </w:tcPr>
          <w:p w14:paraId="3D1834D8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539" w:type="dxa"/>
            <w:shd w:val="clear" w:color="auto" w:fill="FFFFFF"/>
            <w:vAlign w:val="center"/>
          </w:tcPr>
          <w:p w14:paraId="222F4B7D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用量管理</w:t>
            </w:r>
          </w:p>
        </w:tc>
        <w:tc>
          <w:tcPr>
            <w:tcW w:w="5269" w:type="dxa"/>
            <w:gridSpan w:val="2"/>
            <w:shd w:val="clear" w:color="auto" w:fill="FFFFFF"/>
          </w:tcPr>
          <w:p w14:paraId="0E8C94D5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333333"/>
                <w:sz w:val="21"/>
                <w:szCs w:val="21"/>
              </w:rPr>
              <w:t>提供Token用量的统计与监控能力，支持按模块、按科室维度查看消耗情况</w:t>
            </w:r>
          </w:p>
        </w:tc>
        <w:tc>
          <w:tcPr>
            <w:tcW w:w="752" w:type="dxa"/>
            <w:shd w:val="clear" w:color="auto" w:fill="FFFFFF"/>
          </w:tcPr>
          <w:p w14:paraId="16B6D832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</w:pPr>
          </w:p>
        </w:tc>
      </w:tr>
      <w:tr w14:paraId="3EF8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2" w:type="dxa"/>
            <w:vMerge w:val="continue"/>
            <w:tcBorders/>
            <w:shd w:val="clear" w:color="auto" w:fill="FFFFFF"/>
            <w:vAlign w:val="center"/>
          </w:tcPr>
          <w:p w14:paraId="1F1E8B56">
            <w:pPr>
              <w:spacing w:before="40" w:after="40" w:line="300" w:lineRule="auto"/>
              <w:jc w:val="center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10" w:type="dxa"/>
            <w:shd w:val="clear" w:color="auto" w:fill="FFFFFF"/>
            <w:vAlign w:val="center"/>
          </w:tcPr>
          <w:p w14:paraId="61CAAC46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接口对接</w:t>
            </w:r>
          </w:p>
        </w:tc>
        <w:tc>
          <w:tcPr>
            <w:tcW w:w="1539" w:type="dxa"/>
            <w:shd w:val="clear" w:color="auto" w:fill="FFFFFF"/>
            <w:vAlign w:val="center"/>
          </w:tcPr>
          <w:p w14:paraId="440375C2">
            <w:pPr>
              <w:spacing w:before="40" w:after="40" w:line="30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基层医疗机构及本院院内系统、河西区区域平台等</w:t>
            </w:r>
          </w:p>
        </w:tc>
        <w:tc>
          <w:tcPr>
            <w:tcW w:w="5269" w:type="dxa"/>
            <w:gridSpan w:val="2"/>
            <w:shd w:val="clear" w:color="auto" w:fill="FFFFFF"/>
          </w:tcPr>
          <w:p w14:paraId="01D14194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1、用于满足本项目建设的基层医疗及本院系统；</w:t>
            </w:r>
          </w:p>
          <w:p w14:paraId="769F469D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2、现有院内全病程管理系统；</w:t>
            </w:r>
          </w:p>
          <w:p w14:paraId="06A9C2D9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3、AI大模型应用OCR、医学语义结构化插件；</w:t>
            </w:r>
          </w:p>
          <w:p w14:paraId="491D329F">
            <w:pPr>
              <w:spacing w:before="40" w:after="40" w:line="240" w:lineRule="auto"/>
              <w:jc w:val="left"/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4、河西区区域平台；</w:t>
            </w:r>
          </w:p>
          <w:p w14:paraId="30460C49">
            <w:pPr>
              <w:spacing w:before="40" w:after="40" w:line="240" w:lineRule="auto"/>
              <w:jc w:val="left"/>
              <w:rPr>
                <w:rFonts w:hint="default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  <w:t>5、其他（未来涉及功能拓展的预留）；</w:t>
            </w:r>
          </w:p>
        </w:tc>
        <w:tc>
          <w:tcPr>
            <w:tcW w:w="752" w:type="dxa"/>
            <w:shd w:val="clear" w:color="auto" w:fill="FFFFFF"/>
          </w:tcPr>
          <w:p w14:paraId="74AC7541">
            <w:pPr>
              <w:spacing w:before="40" w:after="40" w:line="30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0004848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C72CB"/>
    <w:multiLevelType w:val="singleLevel"/>
    <w:tmpl w:val="C51C72C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D3C7878"/>
    <w:multiLevelType w:val="multilevel"/>
    <w:tmpl w:val="5D3C7878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B19E4"/>
    <w:rsid w:val="04CD0F4F"/>
    <w:rsid w:val="083F14B4"/>
    <w:rsid w:val="11B46100"/>
    <w:rsid w:val="139A2032"/>
    <w:rsid w:val="1A2E4BEE"/>
    <w:rsid w:val="1DAB1D3A"/>
    <w:rsid w:val="2961005D"/>
    <w:rsid w:val="29A208D1"/>
    <w:rsid w:val="2F5B602D"/>
    <w:rsid w:val="378E2698"/>
    <w:rsid w:val="3A014389"/>
    <w:rsid w:val="49F20BCD"/>
    <w:rsid w:val="4B3C5F5F"/>
    <w:rsid w:val="4B885FA4"/>
    <w:rsid w:val="4D7B772A"/>
    <w:rsid w:val="4E4F7045"/>
    <w:rsid w:val="50F65E77"/>
    <w:rsid w:val="52140FEF"/>
    <w:rsid w:val="578730E0"/>
    <w:rsid w:val="58E00C58"/>
    <w:rsid w:val="5A1B7FE4"/>
    <w:rsid w:val="5A391945"/>
    <w:rsid w:val="6DD14BF9"/>
    <w:rsid w:val="70182BA3"/>
    <w:rsid w:val="71AC1ECE"/>
    <w:rsid w:val="72FA1842"/>
    <w:rsid w:val="74B636D9"/>
    <w:rsid w:val="74E20230"/>
    <w:rsid w:val="7685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1747</Words>
  <Characters>1778</Characters>
  <Lines>0</Lines>
  <Paragraphs>0</Paragraphs>
  <TotalTime>15</TotalTime>
  <ScaleCrop>false</ScaleCrop>
  <LinksUpToDate>false</LinksUpToDate>
  <CharactersWithSpaces>1782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2026-09-30T03:10:00Z</dcterms:created>
  <dc:creator>镇海</dc:creator>
  <cp:lastModifiedBy>芳儿</cp:lastModifiedBy>
  <dcterms:modified xsi:type="dcterms:W3CDTF">2026-10-06T02:29:49Z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eyJoZGlkIjoiYjk5ODM0YmMxOWJiYWQyNDU4MGIzYWRmYTA0ZmI5NDciLCJ1c2VySWQiOiIyNTc2MzMxMjQifQ==</vt:lpwstr>
  </property>
  <property fmtid="{D5CDD505-2E9C-101B-9397-08002B2CF9AE}" pid="4" name="ICV">
    <vt:lpwstr>825BCC0355AF4A8E9C43811650704332_13</vt:lpwstr>
  </property>
</Properties>
</file>